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634" w:rsidRPr="006B65F4" w:rsidRDefault="00CE6634" w:rsidP="00CE6634">
      <w:pPr>
        <w:spacing w:after="0" w:line="240" w:lineRule="auto"/>
        <w:jc w:val="center"/>
        <w:rPr>
          <w:rFonts w:ascii="Garamond" w:eastAsia="Times New Roman" w:hAnsi="Garamond" w:cs="Arial"/>
          <w:b/>
          <w:sz w:val="28"/>
          <w:szCs w:val="24"/>
          <w:u w:val="single"/>
          <w:lang w:eastAsia="es-ES"/>
        </w:rPr>
      </w:pPr>
      <w:r w:rsidRPr="006B65F4">
        <w:rPr>
          <w:rFonts w:ascii="Garamond" w:eastAsia="Times New Roman" w:hAnsi="Garamond" w:cs="Arial"/>
          <w:b/>
          <w:sz w:val="28"/>
          <w:szCs w:val="24"/>
          <w:u w:val="single"/>
          <w:lang w:eastAsia="es-ES"/>
        </w:rPr>
        <w:t>PROYECTO DE</w:t>
      </w:r>
      <w:r w:rsidR="00962079" w:rsidRPr="006B65F4">
        <w:rPr>
          <w:rFonts w:ascii="Garamond" w:eastAsia="Times New Roman" w:hAnsi="Garamond" w:cs="Arial"/>
          <w:b/>
          <w:sz w:val="28"/>
          <w:szCs w:val="24"/>
          <w:u w:val="single"/>
          <w:lang w:eastAsia="es-ES"/>
        </w:rPr>
        <w:t xml:space="preserve"> ORDENANZA</w:t>
      </w:r>
      <w:r w:rsidR="006538DA">
        <w:rPr>
          <w:rFonts w:ascii="Garamond" w:eastAsia="Times New Roman" w:hAnsi="Garamond" w:cs="Arial"/>
          <w:b/>
          <w:sz w:val="28"/>
          <w:szCs w:val="24"/>
          <w:u w:val="single"/>
          <w:lang w:eastAsia="es-ES"/>
        </w:rPr>
        <w:t xml:space="preserve"> – EXPEDIENTE Nº 133/2014</w:t>
      </w:r>
    </w:p>
    <w:p w:rsidR="00CE6634" w:rsidRPr="00CE6634" w:rsidRDefault="00CE6634" w:rsidP="00CE6634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</w:p>
    <w:p w:rsidR="00CE6634" w:rsidRPr="00CE6634" w:rsidRDefault="00CE6634" w:rsidP="00CE6634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</w:p>
    <w:p w:rsidR="00CE6634" w:rsidRPr="00CE6634" w:rsidRDefault="00CE6634" w:rsidP="00CE6634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  <w:r w:rsidRPr="00CE6634">
        <w:rPr>
          <w:rFonts w:ascii="Garamond" w:eastAsia="Times New Roman" w:hAnsi="Garamond" w:cs="Arial"/>
          <w:sz w:val="28"/>
          <w:szCs w:val="24"/>
          <w:lang w:eastAsia="es-ES"/>
        </w:rPr>
        <w:tab/>
      </w:r>
      <w:r w:rsidRPr="00CE6634">
        <w:rPr>
          <w:rFonts w:ascii="Garamond" w:eastAsia="Times New Roman" w:hAnsi="Garamond" w:cs="Arial"/>
          <w:sz w:val="28"/>
          <w:szCs w:val="24"/>
          <w:lang w:eastAsia="es-ES"/>
        </w:rPr>
        <w:tab/>
      </w:r>
    </w:p>
    <w:p w:rsidR="00CE6634" w:rsidRDefault="00CE6634" w:rsidP="00CE6634">
      <w:pPr>
        <w:spacing w:after="0" w:line="240" w:lineRule="auto"/>
        <w:jc w:val="both"/>
        <w:rPr>
          <w:rFonts w:ascii="Garamond" w:eastAsia="Times New Roman" w:hAnsi="Garamond" w:cs="Arial"/>
          <w:b/>
          <w:sz w:val="28"/>
          <w:szCs w:val="24"/>
          <w:lang w:eastAsia="es-ES"/>
        </w:rPr>
      </w:pPr>
      <w:r w:rsidRPr="00CE6634">
        <w:rPr>
          <w:rFonts w:ascii="Garamond" w:eastAsia="Times New Roman" w:hAnsi="Garamond" w:cs="Arial"/>
          <w:b/>
          <w:sz w:val="28"/>
          <w:szCs w:val="24"/>
          <w:lang w:eastAsia="es-ES"/>
        </w:rPr>
        <w:t>VISTO:</w:t>
      </w:r>
    </w:p>
    <w:p w:rsidR="00380BA7" w:rsidRDefault="00380BA7" w:rsidP="00CE6634">
      <w:pPr>
        <w:spacing w:after="0" w:line="240" w:lineRule="auto"/>
        <w:jc w:val="both"/>
        <w:rPr>
          <w:rFonts w:ascii="Garamond" w:eastAsia="Times New Roman" w:hAnsi="Garamond" w:cs="Arial"/>
          <w:b/>
          <w:sz w:val="28"/>
          <w:szCs w:val="24"/>
          <w:lang w:eastAsia="es-ES"/>
        </w:rPr>
      </w:pPr>
    </w:p>
    <w:p w:rsidR="00F36A7E" w:rsidRDefault="00F36A7E" w:rsidP="00CE6634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  <w:r>
        <w:rPr>
          <w:rFonts w:ascii="Garamond" w:eastAsia="Times New Roman" w:hAnsi="Garamond" w:cs="Arial"/>
          <w:b/>
          <w:sz w:val="28"/>
          <w:szCs w:val="24"/>
          <w:lang w:eastAsia="es-ES"/>
        </w:rPr>
        <w:tab/>
      </w: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El Artículo 27 inciso 3 y 24 de la Ley </w:t>
      </w:r>
      <w:r w:rsidR="00732DF0">
        <w:rPr>
          <w:rFonts w:ascii="Garamond" w:eastAsia="Times New Roman" w:hAnsi="Garamond" w:cs="Arial"/>
          <w:sz w:val="28"/>
          <w:szCs w:val="24"/>
          <w:lang w:eastAsia="es-ES"/>
        </w:rPr>
        <w:t>Orgánica</w:t>
      </w: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 de las municipalidades, donde hace referencia a la función deliberativa respecto a la conservación de monumentos, </w:t>
      </w:r>
      <w:r w:rsidR="00732DF0">
        <w:rPr>
          <w:rFonts w:ascii="Garamond" w:eastAsia="Times New Roman" w:hAnsi="Garamond" w:cs="Arial"/>
          <w:sz w:val="28"/>
          <w:szCs w:val="24"/>
          <w:lang w:eastAsia="es-ES"/>
        </w:rPr>
        <w:t>paisajes</w:t>
      </w: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 y valores locales.</w:t>
      </w:r>
    </w:p>
    <w:p w:rsidR="00380BA7" w:rsidRPr="00F36A7E" w:rsidRDefault="00102953" w:rsidP="00102953">
      <w:pPr>
        <w:tabs>
          <w:tab w:val="left" w:pos="6855"/>
        </w:tabs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  <w:r>
        <w:rPr>
          <w:rFonts w:ascii="Garamond" w:eastAsia="Times New Roman" w:hAnsi="Garamond" w:cs="Arial"/>
          <w:sz w:val="28"/>
          <w:szCs w:val="24"/>
          <w:lang w:eastAsia="es-ES"/>
        </w:rPr>
        <w:tab/>
      </w:r>
    </w:p>
    <w:p w:rsidR="00F36A7E" w:rsidRDefault="00962079" w:rsidP="00CE6634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  <w:r>
        <w:rPr>
          <w:rFonts w:ascii="Garamond" w:eastAsia="Times New Roman" w:hAnsi="Garamond" w:cs="Arial"/>
          <w:b/>
          <w:sz w:val="28"/>
          <w:szCs w:val="24"/>
          <w:lang w:eastAsia="es-ES"/>
        </w:rPr>
        <w:tab/>
      </w:r>
      <w:r w:rsidR="00F36A7E">
        <w:rPr>
          <w:rFonts w:ascii="Garamond" w:eastAsia="Times New Roman" w:hAnsi="Garamond" w:cs="Arial"/>
          <w:sz w:val="28"/>
          <w:szCs w:val="24"/>
          <w:lang w:eastAsia="es-ES"/>
        </w:rPr>
        <w:t xml:space="preserve">Que la </w:t>
      </w:r>
      <w:r>
        <w:rPr>
          <w:rFonts w:ascii="Garamond" w:eastAsia="Times New Roman" w:hAnsi="Garamond" w:cs="Arial"/>
          <w:sz w:val="28"/>
          <w:szCs w:val="24"/>
          <w:lang w:eastAsia="es-ES"/>
        </w:rPr>
        <w:t>Ordenanza N° 2747/200</w:t>
      </w:r>
      <w:r w:rsidR="00102953">
        <w:rPr>
          <w:rFonts w:ascii="Garamond" w:eastAsia="Times New Roman" w:hAnsi="Garamond" w:cs="Arial"/>
          <w:sz w:val="28"/>
          <w:szCs w:val="24"/>
          <w:lang w:eastAsia="es-ES"/>
        </w:rPr>
        <w:t xml:space="preserve">3, en su Artículo 2, establece que </w:t>
      </w:r>
      <w:r w:rsidRPr="00732DF0">
        <w:rPr>
          <w:rFonts w:ascii="Garamond" w:eastAsia="Times New Roman" w:hAnsi="Garamond" w:cs="Arial"/>
          <w:sz w:val="28"/>
          <w:szCs w:val="24"/>
          <w:lang w:eastAsia="es-ES"/>
        </w:rPr>
        <w:t>“son considerados Patrimonio Cultural e Histórico del Distrito de 25 de Mayo a los inmuebles y objetos muebles de interés arquitectónico, artístico, paleontológico, arqueológicos etnográfico y archivístico, como así también los sitios y conjuntos históricos que tengan valor urbanístico y que promuevan también el rescate, el conocimiento, la filiación, la conservación y la estabilidad de dicho patrimonio”.</w:t>
      </w:r>
    </w:p>
    <w:p w:rsidR="00380BA7" w:rsidRPr="00732DF0" w:rsidRDefault="00380BA7" w:rsidP="00CE6634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</w:p>
    <w:p w:rsidR="00CE6634" w:rsidRPr="00F36A7E" w:rsidRDefault="00F36A7E" w:rsidP="00CE6634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  <w:r>
        <w:rPr>
          <w:rFonts w:ascii="Garamond" w:eastAsia="Times New Roman" w:hAnsi="Garamond" w:cs="Arial"/>
          <w:sz w:val="28"/>
          <w:szCs w:val="24"/>
          <w:lang w:eastAsia="es-ES"/>
        </w:rPr>
        <w:tab/>
        <w:t xml:space="preserve">Que en el Artículo 4 </w:t>
      </w:r>
      <w:r w:rsidR="00102953">
        <w:rPr>
          <w:rFonts w:ascii="Garamond" w:eastAsia="Times New Roman" w:hAnsi="Garamond" w:cs="Arial"/>
          <w:sz w:val="28"/>
          <w:szCs w:val="24"/>
          <w:lang w:eastAsia="es-ES"/>
        </w:rPr>
        <w:t xml:space="preserve">se </w:t>
      </w: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establece que la </w:t>
      </w:r>
      <w:r w:rsidR="00732DF0">
        <w:rPr>
          <w:rFonts w:ascii="Garamond" w:eastAsia="Times New Roman" w:hAnsi="Garamond" w:cs="Arial"/>
          <w:sz w:val="28"/>
          <w:szCs w:val="24"/>
          <w:lang w:eastAsia="es-ES"/>
        </w:rPr>
        <w:t>Comisión</w:t>
      </w: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 Municipal de </w:t>
      </w:r>
      <w:r w:rsidR="00732DF0">
        <w:rPr>
          <w:rFonts w:ascii="Garamond" w:eastAsia="Times New Roman" w:hAnsi="Garamond" w:cs="Arial"/>
          <w:sz w:val="28"/>
          <w:szCs w:val="24"/>
          <w:lang w:eastAsia="es-ES"/>
        </w:rPr>
        <w:t>Patrimonio</w:t>
      </w: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 Cultural e </w:t>
      </w:r>
      <w:r w:rsidR="00732DF0">
        <w:rPr>
          <w:rFonts w:ascii="Garamond" w:eastAsia="Times New Roman" w:hAnsi="Garamond" w:cs="Arial"/>
          <w:sz w:val="28"/>
          <w:szCs w:val="24"/>
          <w:lang w:eastAsia="es-ES"/>
        </w:rPr>
        <w:t>Histórico</w:t>
      </w: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, confeccionó en el Anexo I de la Ordenanza N° 2747/2003, un pre inventario sobre los lugares a preservar, con posibilidades de </w:t>
      </w:r>
      <w:r w:rsidR="00732DF0">
        <w:rPr>
          <w:rFonts w:ascii="Garamond" w:eastAsia="Times New Roman" w:hAnsi="Garamond" w:cs="Arial"/>
          <w:sz w:val="28"/>
          <w:szCs w:val="24"/>
          <w:lang w:eastAsia="es-ES"/>
        </w:rPr>
        <w:t>ampliarlo</w:t>
      </w: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 y/o modificarlo.  </w:t>
      </w:r>
    </w:p>
    <w:p w:rsidR="00CE6634" w:rsidRPr="00CE6634" w:rsidRDefault="00CE6634" w:rsidP="00CE6634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</w:p>
    <w:p w:rsidR="00CE6634" w:rsidRDefault="00CE6634" w:rsidP="00CE6634">
      <w:pPr>
        <w:spacing w:after="0" w:line="240" w:lineRule="auto"/>
        <w:jc w:val="both"/>
        <w:rPr>
          <w:rFonts w:ascii="Garamond" w:eastAsia="Times New Roman" w:hAnsi="Garamond" w:cs="Arial"/>
          <w:b/>
          <w:sz w:val="28"/>
          <w:szCs w:val="24"/>
          <w:lang w:eastAsia="es-ES"/>
        </w:rPr>
      </w:pPr>
      <w:r w:rsidRPr="00CE6634">
        <w:rPr>
          <w:rFonts w:ascii="Garamond" w:eastAsia="Times New Roman" w:hAnsi="Garamond" w:cs="Arial"/>
          <w:b/>
          <w:sz w:val="28"/>
          <w:szCs w:val="24"/>
          <w:lang w:eastAsia="es-ES"/>
        </w:rPr>
        <w:t>CONSIDERANDO:</w:t>
      </w:r>
    </w:p>
    <w:p w:rsidR="00380BA7" w:rsidRDefault="00380BA7" w:rsidP="00105208">
      <w:pPr>
        <w:spacing w:after="0" w:line="240" w:lineRule="auto"/>
        <w:ind w:firstLine="708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</w:p>
    <w:p w:rsidR="00105208" w:rsidRDefault="00105208" w:rsidP="00105208">
      <w:pPr>
        <w:spacing w:after="0" w:line="240" w:lineRule="auto"/>
        <w:ind w:firstLine="708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  <w:r w:rsidRPr="00105208">
        <w:rPr>
          <w:rFonts w:ascii="Garamond" w:eastAsia="Times New Roman" w:hAnsi="Garamond" w:cs="Arial"/>
          <w:sz w:val="28"/>
          <w:szCs w:val="24"/>
          <w:lang w:eastAsia="es-ES"/>
        </w:rPr>
        <w:t>Que el 7 de Abril de 1907, se inició el remate de tierras dando o</w:t>
      </w:r>
      <w:r>
        <w:rPr>
          <w:rFonts w:ascii="Garamond" w:eastAsia="Times New Roman" w:hAnsi="Garamond" w:cs="Arial"/>
          <w:sz w:val="28"/>
          <w:szCs w:val="24"/>
          <w:lang w:eastAsia="es-ES"/>
        </w:rPr>
        <w:t>rigen al pueblo  de Pedernales;</w:t>
      </w:r>
    </w:p>
    <w:p w:rsidR="00380BA7" w:rsidRPr="00105208" w:rsidRDefault="00380BA7" w:rsidP="00105208">
      <w:pPr>
        <w:spacing w:after="0" w:line="240" w:lineRule="auto"/>
        <w:ind w:firstLine="708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</w:p>
    <w:p w:rsidR="00105208" w:rsidRDefault="00105208" w:rsidP="00105208">
      <w:pPr>
        <w:spacing w:after="0" w:line="240" w:lineRule="auto"/>
        <w:ind w:firstLine="708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  <w:r>
        <w:rPr>
          <w:rFonts w:ascii="Garamond" w:eastAsia="Times New Roman" w:hAnsi="Garamond" w:cs="Arial"/>
          <w:sz w:val="28"/>
          <w:szCs w:val="24"/>
          <w:lang w:eastAsia="es-ES"/>
        </w:rPr>
        <w:t>Que, Pedernales se encuentra</w:t>
      </w:r>
      <w:r w:rsidRPr="00105208">
        <w:rPr>
          <w:rFonts w:ascii="Garamond" w:eastAsia="Times New Roman" w:hAnsi="Garamond" w:cs="Arial"/>
          <w:sz w:val="28"/>
          <w:szCs w:val="24"/>
          <w:lang w:eastAsia="es-ES"/>
        </w:rPr>
        <w:t xml:space="preserve"> al norte del Partido de 25 de Mayo</w:t>
      </w: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 a una distancia de 60 </w:t>
      </w:r>
      <w:r w:rsidR="00732DF0">
        <w:rPr>
          <w:rFonts w:ascii="Garamond" w:eastAsia="Times New Roman" w:hAnsi="Garamond" w:cs="Arial"/>
          <w:sz w:val="28"/>
          <w:szCs w:val="24"/>
          <w:lang w:eastAsia="es-ES"/>
        </w:rPr>
        <w:t>kilómetros</w:t>
      </w: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 </w:t>
      </w:r>
      <w:r w:rsidR="00732DF0">
        <w:rPr>
          <w:rFonts w:ascii="Garamond" w:eastAsia="Times New Roman" w:hAnsi="Garamond" w:cs="Arial"/>
          <w:sz w:val="28"/>
          <w:szCs w:val="24"/>
          <w:lang w:eastAsia="es-ES"/>
        </w:rPr>
        <w:t>ubicada</w:t>
      </w: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 en la </w:t>
      </w:r>
      <w:r w:rsidR="00732DF0">
        <w:rPr>
          <w:rFonts w:ascii="Garamond" w:eastAsia="Times New Roman" w:hAnsi="Garamond" w:cs="Arial"/>
          <w:sz w:val="28"/>
          <w:szCs w:val="24"/>
          <w:lang w:eastAsia="es-ES"/>
        </w:rPr>
        <w:t>cuenca</w:t>
      </w: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 media del Salado.</w:t>
      </w:r>
    </w:p>
    <w:p w:rsidR="00F74B2F" w:rsidRDefault="00F74B2F" w:rsidP="00105208">
      <w:pPr>
        <w:spacing w:after="0" w:line="240" w:lineRule="auto"/>
        <w:ind w:firstLine="708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</w:p>
    <w:p w:rsidR="00F74B2F" w:rsidRDefault="00F74B2F" w:rsidP="00105208">
      <w:pPr>
        <w:spacing w:after="0" w:line="240" w:lineRule="auto"/>
        <w:ind w:firstLine="708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  <w:r>
        <w:rPr>
          <w:rFonts w:ascii="Garamond" w:eastAsia="Times New Roman" w:hAnsi="Garamond" w:cs="Arial"/>
          <w:sz w:val="28"/>
          <w:szCs w:val="24"/>
          <w:lang w:eastAsia="es-ES"/>
        </w:rPr>
        <w:t>Que, el 26 de enero de 1926 fue construido el Almacén de Ramos Generales “Casa Aguerre”</w:t>
      </w:r>
      <w:r w:rsidR="008019E3">
        <w:rPr>
          <w:rFonts w:ascii="Garamond" w:eastAsia="Times New Roman" w:hAnsi="Garamond" w:cs="Arial"/>
          <w:sz w:val="28"/>
          <w:szCs w:val="24"/>
          <w:lang w:eastAsia="es-ES"/>
        </w:rPr>
        <w:t xml:space="preserve">, frente </w:t>
      </w:r>
      <w:r w:rsidR="0041473E">
        <w:rPr>
          <w:rFonts w:ascii="Garamond" w:eastAsia="Times New Roman" w:hAnsi="Garamond" w:cs="Arial"/>
          <w:sz w:val="28"/>
          <w:szCs w:val="24"/>
          <w:lang w:eastAsia="es-ES"/>
        </w:rPr>
        <w:t>a la estación de</w:t>
      </w:r>
      <w:r w:rsidR="008019E3">
        <w:rPr>
          <w:rFonts w:ascii="Garamond" w:eastAsia="Times New Roman" w:hAnsi="Garamond" w:cs="Arial"/>
          <w:sz w:val="28"/>
          <w:szCs w:val="24"/>
          <w:lang w:eastAsia="es-ES"/>
        </w:rPr>
        <w:t xml:space="preserve"> ferrocarril.</w:t>
      </w:r>
    </w:p>
    <w:p w:rsidR="00380BA7" w:rsidRDefault="00380BA7" w:rsidP="00105208">
      <w:pPr>
        <w:spacing w:after="0" w:line="240" w:lineRule="auto"/>
        <w:ind w:firstLine="708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</w:p>
    <w:p w:rsidR="00380BA7" w:rsidRDefault="00F36A7E" w:rsidP="00962079">
      <w:pPr>
        <w:spacing w:after="0" w:line="240" w:lineRule="auto"/>
        <w:ind w:firstLine="708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Que, </w:t>
      </w:r>
      <w:r w:rsidR="008019E3">
        <w:rPr>
          <w:rFonts w:ascii="Garamond" w:eastAsia="Times New Roman" w:hAnsi="Garamond" w:cs="Arial"/>
          <w:sz w:val="28"/>
          <w:szCs w:val="24"/>
          <w:lang w:eastAsia="es-ES"/>
        </w:rPr>
        <w:t>desde ese</w:t>
      </w:r>
      <w:r w:rsidR="00F74B2F">
        <w:rPr>
          <w:rFonts w:ascii="Garamond" w:eastAsia="Times New Roman" w:hAnsi="Garamond" w:cs="Arial"/>
          <w:sz w:val="28"/>
          <w:szCs w:val="24"/>
          <w:lang w:eastAsia="es-ES"/>
        </w:rPr>
        <w:t xml:space="preserve"> momento el Almacén </w:t>
      </w:r>
      <w:r w:rsidR="00732DF0">
        <w:rPr>
          <w:rFonts w:ascii="Garamond" w:eastAsia="Times New Roman" w:hAnsi="Garamond" w:cs="Arial"/>
          <w:sz w:val="28"/>
          <w:szCs w:val="24"/>
          <w:lang w:eastAsia="es-ES"/>
        </w:rPr>
        <w:t>se</w:t>
      </w:r>
      <w:r w:rsidR="00105208">
        <w:rPr>
          <w:rFonts w:ascii="Garamond" w:eastAsia="Times New Roman" w:hAnsi="Garamond" w:cs="Arial"/>
          <w:sz w:val="28"/>
          <w:szCs w:val="24"/>
          <w:lang w:eastAsia="es-ES"/>
        </w:rPr>
        <w:t xml:space="preserve"> fue </w:t>
      </w:r>
      <w:r w:rsidR="00732DF0">
        <w:rPr>
          <w:rFonts w:ascii="Garamond" w:eastAsia="Times New Roman" w:hAnsi="Garamond" w:cs="Arial"/>
          <w:sz w:val="28"/>
          <w:szCs w:val="24"/>
          <w:lang w:eastAsia="es-ES"/>
        </w:rPr>
        <w:t>convirtiendo</w:t>
      </w:r>
      <w:r w:rsidR="00105208">
        <w:rPr>
          <w:rFonts w:ascii="Garamond" w:eastAsia="Times New Roman" w:hAnsi="Garamond" w:cs="Arial"/>
          <w:sz w:val="28"/>
          <w:szCs w:val="24"/>
          <w:lang w:eastAsia="es-ES"/>
        </w:rPr>
        <w:t xml:space="preserve"> en punto de referencia </w:t>
      </w:r>
      <w:r w:rsidR="00F74B2F">
        <w:rPr>
          <w:rFonts w:ascii="Garamond" w:eastAsia="Times New Roman" w:hAnsi="Garamond" w:cs="Arial"/>
          <w:sz w:val="28"/>
          <w:szCs w:val="24"/>
          <w:lang w:eastAsia="es-ES"/>
        </w:rPr>
        <w:t>para toda la población de Pedernales.</w:t>
      </w:r>
    </w:p>
    <w:p w:rsidR="00962079" w:rsidRDefault="00732DF0" w:rsidP="00962079">
      <w:pPr>
        <w:spacing w:after="0" w:line="240" w:lineRule="auto"/>
        <w:ind w:firstLine="708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 </w:t>
      </w:r>
    </w:p>
    <w:p w:rsidR="00EF068F" w:rsidRDefault="00EF068F" w:rsidP="00962079">
      <w:pPr>
        <w:spacing w:after="0" w:line="240" w:lineRule="auto"/>
        <w:ind w:firstLine="708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  <w:r>
        <w:rPr>
          <w:rFonts w:ascii="Garamond" w:eastAsia="Times New Roman" w:hAnsi="Garamond" w:cs="Arial"/>
          <w:sz w:val="28"/>
          <w:szCs w:val="24"/>
          <w:lang w:eastAsia="es-ES"/>
        </w:rPr>
        <w:t>Que,</w:t>
      </w:r>
      <w:r w:rsidR="00732DF0">
        <w:rPr>
          <w:rFonts w:ascii="Garamond" w:eastAsia="Times New Roman" w:hAnsi="Garamond" w:cs="Arial"/>
          <w:sz w:val="28"/>
          <w:szCs w:val="24"/>
          <w:lang w:eastAsia="es-ES"/>
        </w:rPr>
        <w:t xml:space="preserve"> el Almacén </w:t>
      </w:r>
      <w:r w:rsidR="00102953">
        <w:rPr>
          <w:rFonts w:ascii="Garamond" w:eastAsia="Times New Roman" w:hAnsi="Garamond" w:cs="Arial"/>
          <w:sz w:val="28"/>
          <w:szCs w:val="24"/>
          <w:lang w:eastAsia="es-ES"/>
        </w:rPr>
        <w:t>“</w:t>
      </w:r>
      <w:r w:rsidR="00F63467">
        <w:rPr>
          <w:rFonts w:ascii="Garamond" w:eastAsia="Times New Roman" w:hAnsi="Garamond" w:cs="Arial"/>
          <w:sz w:val="28"/>
          <w:szCs w:val="24"/>
          <w:lang w:eastAsia="es-ES"/>
        </w:rPr>
        <w:t>Casa Aguerre</w:t>
      </w:r>
      <w:r w:rsidR="00102953">
        <w:rPr>
          <w:rFonts w:ascii="Garamond" w:eastAsia="Times New Roman" w:hAnsi="Garamond" w:cs="Arial"/>
          <w:sz w:val="28"/>
          <w:szCs w:val="24"/>
          <w:lang w:eastAsia="es-ES"/>
        </w:rPr>
        <w:t>”</w:t>
      </w:r>
      <w:r w:rsidR="00F63467">
        <w:rPr>
          <w:rFonts w:ascii="Garamond" w:eastAsia="Times New Roman" w:hAnsi="Garamond" w:cs="Arial"/>
          <w:sz w:val="28"/>
          <w:szCs w:val="24"/>
          <w:lang w:eastAsia="es-ES"/>
        </w:rPr>
        <w:t xml:space="preserve"> </w:t>
      </w:r>
      <w:r>
        <w:rPr>
          <w:rFonts w:ascii="Garamond" w:eastAsia="Times New Roman" w:hAnsi="Garamond" w:cs="Arial"/>
          <w:sz w:val="28"/>
          <w:szCs w:val="24"/>
          <w:lang w:eastAsia="es-ES"/>
        </w:rPr>
        <w:t>fue restaurado preservando la originalidad del mismo, conservando muebles ori</w:t>
      </w:r>
      <w:r w:rsidR="00102953">
        <w:rPr>
          <w:rFonts w:ascii="Garamond" w:eastAsia="Times New Roman" w:hAnsi="Garamond" w:cs="Arial"/>
          <w:sz w:val="28"/>
          <w:szCs w:val="24"/>
          <w:lang w:eastAsia="es-ES"/>
        </w:rPr>
        <w:t>ginales de la época, como las</w:t>
      </w: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 estanterías, mostradores, etcétera.   </w:t>
      </w:r>
    </w:p>
    <w:p w:rsidR="00732DF0" w:rsidRDefault="00732DF0" w:rsidP="006E7864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</w:p>
    <w:p w:rsidR="00F63467" w:rsidRDefault="00F63467" w:rsidP="00F63467">
      <w:pPr>
        <w:spacing w:after="0" w:line="240" w:lineRule="auto"/>
        <w:ind w:firstLine="708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Que, el edificio guarda un importante valor histórico, cultural y humanístico no solo para la localidad de Pedernales sino para todo el Partido de 25 de Mayo. </w:t>
      </w:r>
    </w:p>
    <w:p w:rsidR="00F63467" w:rsidRPr="00CE6634" w:rsidRDefault="00F63467" w:rsidP="00F63467">
      <w:pPr>
        <w:spacing w:after="0" w:line="240" w:lineRule="auto"/>
        <w:ind w:firstLine="708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</w:p>
    <w:p w:rsidR="00CE6634" w:rsidRPr="00CE6634" w:rsidRDefault="00CE6634" w:rsidP="00CE6634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  <w:r w:rsidRPr="00CE6634">
        <w:rPr>
          <w:rFonts w:ascii="Garamond" w:eastAsia="Times New Roman" w:hAnsi="Garamond" w:cs="Arial"/>
          <w:sz w:val="28"/>
          <w:szCs w:val="24"/>
          <w:lang w:eastAsia="es-ES"/>
        </w:rPr>
        <w:t>Por todo ello, este Honorable Concejo Deliberante sanciona con fuerza de:</w:t>
      </w:r>
    </w:p>
    <w:p w:rsidR="00CE6634" w:rsidRPr="00CE6634" w:rsidRDefault="00CE6634" w:rsidP="00F63467">
      <w:pPr>
        <w:tabs>
          <w:tab w:val="left" w:pos="7526"/>
        </w:tabs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  <w:r w:rsidRPr="00CE6634">
        <w:rPr>
          <w:rFonts w:ascii="Garamond" w:eastAsia="Times New Roman" w:hAnsi="Garamond" w:cs="Arial"/>
          <w:sz w:val="28"/>
          <w:szCs w:val="24"/>
          <w:lang w:eastAsia="es-ES"/>
        </w:rPr>
        <w:tab/>
      </w:r>
    </w:p>
    <w:p w:rsidR="00CE6634" w:rsidRPr="00CE6634" w:rsidRDefault="00F63467" w:rsidP="00CE6634">
      <w:pPr>
        <w:spacing w:after="0" w:line="240" w:lineRule="auto"/>
        <w:jc w:val="center"/>
        <w:rPr>
          <w:rFonts w:ascii="Garamond" w:eastAsia="Times New Roman" w:hAnsi="Garamond" w:cs="Arial"/>
          <w:b/>
          <w:sz w:val="28"/>
          <w:szCs w:val="24"/>
          <w:u w:val="single"/>
          <w:lang w:eastAsia="es-ES"/>
        </w:rPr>
      </w:pPr>
      <w:r>
        <w:rPr>
          <w:rFonts w:ascii="Garamond" w:eastAsia="Times New Roman" w:hAnsi="Garamond" w:cs="Arial"/>
          <w:b/>
          <w:sz w:val="28"/>
          <w:szCs w:val="24"/>
          <w:u w:val="single"/>
          <w:lang w:eastAsia="es-ES"/>
        </w:rPr>
        <w:t>ORDENANZA</w:t>
      </w:r>
      <w:r w:rsidR="00CE6634" w:rsidRPr="00CE6634">
        <w:rPr>
          <w:rFonts w:ascii="Garamond" w:eastAsia="Times New Roman" w:hAnsi="Garamond" w:cs="Arial"/>
          <w:b/>
          <w:sz w:val="28"/>
          <w:szCs w:val="24"/>
          <w:u w:val="single"/>
          <w:lang w:eastAsia="es-ES"/>
        </w:rPr>
        <w:t>:</w:t>
      </w:r>
    </w:p>
    <w:p w:rsidR="00CE6634" w:rsidRPr="00CE6634" w:rsidRDefault="00E4208D" w:rsidP="00CE6634">
      <w:pPr>
        <w:spacing w:after="0" w:line="240" w:lineRule="auto"/>
        <w:jc w:val="both"/>
        <w:rPr>
          <w:rFonts w:ascii="Garamond" w:eastAsia="Times New Roman" w:hAnsi="Garamond" w:cs="Arial"/>
          <w:b/>
          <w:sz w:val="28"/>
          <w:szCs w:val="24"/>
          <w:lang w:eastAsia="es-ES"/>
        </w:rPr>
      </w:pPr>
      <w:r>
        <w:rPr>
          <w:rFonts w:ascii="Garamond" w:eastAsia="Times New Roman" w:hAnsi="Garamond" w:cs="Arial"/>
          <w:b/>
          <w:sz w:val="28"/>
          <w:szCs w:val="24"/>
          <w:lang w:eastAsia="es-ES"/>
        </w:rPr>
        <w:t xml:space="preserve"> </w:t>
      </w:r>
    </w:p>
    <w:p w:rsidR="008019E3" w:rsidRPr="00CE6634" w:rsidRDefault="00CE6634" w:rsidP="00380BA7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  <w:r w:rsidRPr="00CE6634">
        <w:rPr>
          <w:rFonts w:ascii="Garamond" w:eastAsia="Times New Roman" w:hAnsi="Garamond" w:cs="Arial"/>
          <w:b/>
          <w:sz w:val="28"/>
          <w:szCs w:val="24"/>
          <w:lang w:eastAsia="es-ES"/>
        </w:rPr>
        <w:t xml:space="preserve">Artículo 1º: </w:t>
      </w:r>
      <w:r w:rsidRPr="00CE6634">
        <w:rPr>
          <w:rFonts w:ascii="Garamond" w:eastAsia="Times New Roman" w:hAnsi="Garamond" w:cs="Arial"/>
          <w:sz w:val="28"/>
          <w:szCs w:val="24"/>
          <w:lang w:eastAsia="es-ES"/>
        </w:rPr>
        <w:t xml:space="preserve">Declárese </w:t>
      </w:r>
      <w:r w:rsidR="00F63467">
        <w:rPr>
          <w:rFonts w:ascii="Garamond" w:eastAsia="Times New Roman" w:hAnsi="Garamond" w:cs="Arial"/>
          <w:sz w:val="28"/>
          <w:szCs w:val="24"/>
          <w:lang w:eastAsia="es-ES"/>
        </w:rPr>
        <w:t xml:space="preserve">Patrimonio Cultural e Histórico del Distrito de 25 de Mayo el edificio que corresponde al </w:t>
      </w:r>
      <w:r w:rsidR="00380BA7">
        <w:rPr>
          <w:rFonts w:ascii="Garamond" w:eastAsia="Times New Roman" w:hAnsi="Garamond" w:cs="Arial"/>
          <w:sz w:val="28"/>
          <w:szCs w:val="24"/>
          <w:lang w:eastAsia="es-ES"/>
        </w:rPr>
        <w:t>Almacén</w:t>
      </w:r>
      <w:r w:rsidR="00F63467">
        <w:rPr>
          <w:rFonts w:ascii="Garamond" w:eastAsia="Times New Roman" w:hAnsi="Garamond" w:cs="Arial"/>
          <w:sz w:val="28"/>
          <w:szCs w:val="24"/>
          <w:lang w:eastAsia="es-ES"/>
        </w:rPr>
        <w:t xml:space="preserve"> de Ramos Generales “Casa Aguerre”, </w:t>
      </w:r>
      <w:r w:rsidR="00380BA7">
        <w:rPr>
          <w:rFonts w:ascii="Garamond" w:eastAsia="Times New Roman" w:hAnsi="Garamond" w:cs="Arial"/>
          <w:sz w:val="28"/>
          <w:szCs w:val="24"/>
          <w:lang w:eastAsia="es-ES"/>
        </w:rPr>
        <w:t xml:space="preserve">ubicado en la Localidad de Pedernales, </w:t>
      </w:r>
      <w:r w:rsidR="00F63467">
        <w:rPr>
          <w:rFonts w:ascii="Garamond" w:eastAsia="Times New Roman" w:hAnsi="Garamond" w:cs="Arial"/>
          <w:sz w:val="28"/>
          <w:szCs w:val="24"/>
          <w:lang w:eastAsia="es-ES"/>
        </w:rPr>
        <w:t xml:space="preserve">cuya nomenclatura catastral es la siguiente </w:t>
      </w:r>
      <w:r w:rsidR="008019E3">
        <w:rPr>
          <w:rFonts w:ascii="Garamond" w:eastAsia="Times New Roman" w:hAnsi="Garamond" w:cs="Arial"/>
          <w:sz w:val="28"/>
          <w:szCs w:val="24"/>
          <w:lang w:eastAsia="es-ES"/>
        </w:rPr>
        <w:t xml:space="preserve">Circunscripción 4, Sección B, Manzana 102, Parcela 3, Matrícula N° 19.428 del Partido de 25 de Mayo. </w:t>
      </w:r>
    </w:p>
    <w:p w:rsidR="00CE6634" w:rsidRPr="00CE6634" w:rsidRDefault="00CE6634" w:rsidP="00380BA7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</w:p>
    <w:p w:rsidR="00CE6634" w:rsidRDefault="00CE6634" w:rsidP="00380BA7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  <w:r w:rsidRPr="00CE6634">
        <w:rPr>
          <w:rFonts w:ascii="Garamond" w:eastAsia="Times New Roman" w:hAnsi="Garamond" w:cs="Arial"/>
          <w:b/>
          <w:sz w:val="28"/>
          <w:szCs w:val="24"/>
          <w:lang w:eastAsia="es-ES"/>
        </w:rPr>
        <w:lastRenderedPageBreak/>
        <w:t xml:space="preserve">Artículo 2º: </w:t>
      </w:r>
      <w:r w:rsidR="00380BA7">
        <w:rPr>
          <w:rFonts w:ascii="Garamond" w:eastAsia="Times New Roman" w:hAnsi="Garamond" w:cs="Arial"/>
          <w:sz w:val="28"/>
          <w:szCs w:val="24"/>
          <w:lang w:eastAsia="es-ES"/>
        </w:rPr>
        <w:t>El Departamento Ejecutivo procederá a señalizar el edificio, dejándose constancia del año de construcción y todo otro dato de interés</w:t>
      </w:r>
      <w:r w:rsidRPr="00CE6634">
        <w:rPr>
          <w:rFonts w:ascii="Garamond" w:eastAsia="Times New Roman" w:hAnsi="Garamond" w:cs="Arial"/>
          <w:sz w:val="28"/>
          <w:szCs w:val="24"/>
          <w:lang w:eastAsia="es-ES"/>
        </w:rPr>
        <w:t>.</w:t>
      </w:r>
    </w:p>
    <w:p w:rsidR="00380BA7" w:rsidRDefault="00380BA7" w:rsidP="00380BA7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</w:p>
    <w:p w:rsidR="00CE6634" w:rsidRDefault="00380BA7" w:rsidP="00380BA7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  <w:r w:rsidRPr="00380BA7">
        <w:rPr>
          <w:rFonts w:ascii="Garamond" w:eastAsia="Times New Roman" w:hAnsi="Garamond" w:cs="Arial"/>
          <w:b/>
          <w:sz w:val="28"/>
          <w:szCs w:val="24"/>
          <w:lang w:eastAsia="es-ES"/>
        </w:rPr>
        <w:t>Artículo 3</w:t>
      </w: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°: Inclúyanse el edificio mencionado en el </w:t>
      </w:r>
      <w:r w:rsidRPr="00380BA7">
        <w:rPr>
          <w:rFonts w:ascii="Garamond" w:eastAsia="Times New Roman" w:hAnsi="Garamond" w:cs="Arial"/>
          <w:i/>
          <w:sz w:val="28"/>
          <w:szCs w:val="24"/>
          <w:lang w:eastAsia="es-ES"/>
        </w:rPr>
        <w:t>Anexo I, Área “Almacenes – Boliches de Campos”</w:t>
      </w: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, conforme al Artículo 4° de la Ordenanza N° 2747/2003. </w:t>
      </w:r>
    </w:p>
    <w:p w:rsidR="00380BA7" w:rsidRPr="00380BA7" w:rsidRDefault="00380BA7" w:rsidP="00380BA7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</w:p>
    <w:p w:rsidR="0041473E" w:rsidRDefault="00380BA7" w:rsidP="0041473E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  <w:r>
        <w:rPr>
          <w:rFonts w:ascii="Garamond" w:eastAsia="Times New Roman" w:hAnsi="Garamond" w:cs="Arial"/>
          <w:b/>
          <w:sz w:val="28"/>
          <w:szCs w:val="24"/>
          <w:lang w:eastAsia="es-ES"/>
        </w:rPr>
        <w:t>Artículo 4</w:t>
      </w:r>
      <w:r w:rsidR="00CE6634" w:rsidRPr="00CE6634">
        <w:rPr>
          <w:rFonts w:ascii="Garamond" w:eastAsia="Times New Roman" w:hAnsi="Garamond" w:cs="Arial"/>
          <w:b/>
          <w:sz w:val="28"/>
          <w:szCs w:val="24"/>
          <w:lang w:eastAsia="es-ES"/>
        </w:rPr>
        <w:t xml:space="preserve">°: </w:t>
      </w:r>
      <w:r w:rsidR="0041473E">
        <w:rPr>
          <w:rFonts w:ascii="Garamond" w:eastAsia="Times New Roman" w:hAnsi="Garamond" w:cs="Arial"/>
          <w:sz w:val="28"/>
          <w:szCs w:val="24"/>
          <w:lang w:eastAsia="es-ES"/>
        </w:rPr>
        <w:t>De forma.</w:t>
      </w:r>
    </w:p>
    <w:p w:rsidR="0041473E" w:rsidRDefault="0041473E" w:rsidP="0041473E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  <w:bookmarkStart w:id="0" w:name="_GoBack"/>
      <w:bookmarkEnd w:id="0"/>
    </w:p>
    <w:p w:rsidR="0041473E" w:rsidRDefault="0041473E" w:rsidP="0041473E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</w:p>
    <w:p w:rsidR="0041473E" w:rsidRDefault="0041473E" w:rsidP="0041473E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</w:p>
    <w:p w:rsidR="0041473E" w:rsidRDefault="0041473E" w:rsidP="0041473E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</w:p>
    <w:p w:rsidR="0041473E" w:rsidRDefault="0041473E" w:rsidP="0041473E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</w:p>
    <w:p w:rsidR="0041473E" w:rsidRDefault="0041473E" w:rsidP="0041473E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</w:p>
    <w:p w:rsidR="0041473E" w:rsidRDefault="0041473E" w:rsidP="0041473E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</w:p>
    <w:p w:rsidR="0041473E" w:rsidRDefault="0023741F" w:rsidP="0041473E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    </w:t>
      </w:r>
      <w:r w:rsidR="0041473E">
        <w:rPr>
          <w:rFonts w:ascii="Garamond" w:eastAsia="Times New Roman" w:hAnsi="Garamond" w:cs="Arial"/>
          <w:sz w:val="28"/>
          <w:szCs w:val="24"/>
          <w:lang w:eastAsia="es-ES"/>
        </w:rPr>
        <w:t xml:space="preserve">Emilia Fioretti.           </w:t>
      </w: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  </w:t>
      </w:r>
      <w:r w:rsidR="0041473E">
        <w:rPr>
          <w:rFonts w:ascii="Garamond" w:eastAsia="Times New Roman" w:hAnsi="Garamond" w:cs="Arial"/>
          <w:sz w:val="28"/>
          <w:szCs w:val="24"/>
          <w:lang w:eastAsia="es-ES"/>
        </w:rPr>
        <w:t>Marcos L. Ibarra Davel.           Cecilia Germano.</w:t>
      </w:r>
    </w:p>
    <w:p w:rsidR="0041473E" w:rsidRDefault="0023741F" w:rsidP="0041473E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  <w:r>
        <w:rPr>
          <w:rFonts w:ascii="Garamond" w:eastAsia="Times New Roman" w:hAnsi="Garamond" w:cs="Arial"/>
          <w:sz w:val="28"/>
          <w:szCs w:val="24"/>
          <w:lang w:eastAsia="es-ES"/>
        </w:rPr>
        <w:t>Concejal Bloque CC.</w:t>
      </w:r>
      <w:r w:rsidR="0041473E">
        <w:rPr>
          <w:rFonts w:ascii="Garamond" w:eastAsia="Times New Roman" w:hAnsi="Garamond" w:cs="Arial"/>
          <w:sz w:val="28"/>
          <w:szCs w:val="24"/>
          <w:lang w:eastAsia="es-ES"/>
        </w:rPr>
        <w:t xml:space="preserve">    </w:t>
      </w: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      Concejal Bloque C.C.           Concejal Bloque C.C.</w:t>
      </w:r>
    </w:p>
    <w:p w:rsidR="0041473E" w:rsidRDefault="0041473E" w:rsidP="0041473E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</w:p>
    <w:p w:rsidR="0041473E" w:rsidRDefault="0041473E" w:rsidP="0041473E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</w:p>
    <w:p w:rsidR="0041473E" w:rsidRDefault="0041473E" w:rsidP="0041473E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 </w:t>
      </w:r>
    </w:p>
    <w:p w:rsidR="0041473E" w:rsidRDefault="0041473E" w:rsidP="0041473E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</w:p>
    <w:p w:rsidR="0041473E" w:rsidRDefault="0041473E" w:rsidP="0041473E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4"/>
          <w:lang w:eastAsia="es-ES"/>
        </w:rPr>
      </w:pPr>
    </w:p>
    <w:p w:rsidR="0041473E" w:rsidRDefault="0041473E" w:rsidP="0041473E">
      <w:pPr>
        <w:spacing w:after="0" w:line="240" w:lineRule="auto"/>
        <w:rPr>
          <w:rFonts w:ascii="Garamond" w:eastAsia="Times New Roman" w:hAnsi="Garamond" w:cs="Arial"/>
          <w:sz w:val="28"/>
          <w:szCs w:val="24"/>
          <w:lang w:eastAsia="es-ES"/>
        </w:rPr>
      </w:pP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                           Jaime F. Meda.                           Daniel Fredes.</w:t>
      </w:r>
    </w:p>
    <w:p w:rsidR="0041473E" w:rsidRPr="0041473E" w:rsidRDefault="0041473E" w:rsidP="0041473E">
      <w:pPr>
        <w:spacing w:after="0" w:line="240" w:lineRule="auto"/>
        <w:rPr>
          <w:rFonts w:ascii="Garamond" w:eastAsia="Times New Roman" w:hAnsi="Garamond" w:cs="Arial"/>
          <w:sz w:val="28"/>
          <w:szCs w:val="24"/>
          <w:lang w:eastAsia="es-ES"/>
        </w:rPr>
      </w:pP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                     Concejal </w:t>
      </w:r>
      <w:r w:rsidR="0023741F">
        <w:rPr>
          <w:rFonts w:ascii="Garamond" w:eastAsia="Times New Roman" w:hAnsi="Garamond" w:cs="Arial"/>
          <w:sz w:val="28"/>
          <w:szCs w:val="24"/>
          <w:lang w:eastAsia="es-ES"/>
        </w:rPr>
        <w:t>Bloque N.S</w:t>
      </w: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.                  Concejal </w:t>
      </w:r>
      <w:r w:rsidR="0023741F">
        <w:rPr>
          <w:rFonts w:ascii="Garamond" w:eastAsia="Times New Roman" w:hAnsi="Garamond" w:cs="Arial"/>
          <w:sz w:val="28"/>
          <w:szCs w:val="24"/>
          <w:lang w:eastAsia="es-ES"/>
        </w:rPr>
        <w:t>Bloque N.S</w:t>
      </w:r>
      <w:r>
        <w:rPr>
          <w:rFonts w:ascii="Garamond" w:eastAsia="Times New Roman" w:hAnsi="Garamond" w:cs="Arial"/>
          <w:sz w:val="28"/>
          <w:szCs w:val="24"/>
          <w:lang w:eastAsia="es-ES"/>
        </w:rPr>
        <w:t xml:space="preserve">. </w:t>
      </w:r>
    </w:p>
    <w:sectPr w:rsidR="0041473E" w:rsidRPr="0041473E" w:rsidSect="008D35B8">
      <w:pgSz w:w="12242" w:h="20163" w:code="5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519" w:rsidRDefault="00CE7519" w:rsidP="008019E3">
      <w:pPr>
        <w:spacing w:after="0" w:line="240" w:lineRule="auto"/>
      </w:pPr>
      <w:r>
        <w:separator/>
      </w:r>
    </w:p>
  </w:endnote>
  <w:endnote w:type="continuationSeparator" w:id="0">
    <w:p w:rsidR="00CE7519" w:rsidRDefault="00CE7519" w:rsidP="008019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519" w:rsidRDefault="00CE7519" w:rsidP="008019E3">
      <w:pPr>
        <w:spacing w:after="0" w:line="240" w:lineRule="auto"/>
      </w:pPr>
      <w:r>
        <w:separator/>
      </w:r>
    </w:p>
  </w:footnote>
  <w:footnote w:type="continuationSeparator" w:id="0">
    <w:p w:rsidR="00CE7519" w:rsidRDefault="00CE7519" w:rsidP="008019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634"/>
    <w:rsid w:val="0006430F"/>
    <w:rsid w:val="00102953"/>
    <w:rsid w:val="00105208"/>
    <w:rsid w:val="00182518"/>
    <w:rsid w:val="001D66DA"/>
    <w:rsid w:val="00231FC6"/>
    <w:rsid w:val="0023741F"/>
    <w:rsid w:val="00251162"/>
    <w:rsid w:val="00380BA7"/>
    <w:rsid w:val="0041473E"/>
    <w:rsid w:val="004B3AEF"/>
    <w:rsid w:val="00546923"/>
    <w:rsid w:val="006538DA"/>
    <w:rsid w:val="006B65F4"/>
    <w:rsid w:val="006E7864"/>
    <w:rsid w:val="00732DF0"/>
    <w:rsid w:val="007E5ED1"/>
    <w:rsid w:val="008019E3"/>
    <w:rsid w:val="00885028"/>
    <w:rsid w:val="0093421F"/>
    <w:rsid w:val="00962079"/>
    <w:rsid w:val="00A11563"/>
    <w:rsid w:val="00B765AC"/>
    <w:rsid w:val="00C167C7"/>
    <w:rsid w:val="00C70EE5"/>
    <w:rsid w:val="00CE6634"/>
    <w:rsid w:val="00CE7519"/>
    <w:rsid w:val="00E4208D"/>
    <w:rsid w:val="00E42C83"/>
    <w:rsid w:val="00EF068F"/>
    <w:rsid w:val="00F33B64"/>
    <w:rsid w:val="00F36A7E"/>
    <w:rsid w:val="00F63467"/>
    <w:rsid w:val="00F74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019E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E3"/>
  </w:style>
  <w:style w:type="paragraph" w:styleId="Piedepgina">
    <w:name w:val="footer"/>
    <w:basedOn w:val="Normal"/>
    <w:link w:val="PiedepginaCar"/>
    <w:uiPriority w:val="99"/>
    <w:unhideWhenUsed/>
    <w:rsid w:val="008019E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019E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E3"/>
  </w:style>
  <w:style w:type="paragraph" w:styleId="Piedepgina">
    <w:name w:val="footer"/>
    <w:basedOn w:val="Normal"/>
    <w:link w:val="PiedepginaCar"/>
    <w:uiPriority w:val="99"/>
    <w:unhideWhenUsed/>
    <w:rsid w:val="008019E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Oficina</cp:lastModifiedBy>
  <cp:revision>3</cp:revision>
  <cp:lastPrinted>2014-10-22T14:19:00Z</cp:lastPrinted>
  <dcterms:created xsi:type="dcterms:W3CDTF">2014-10-24T15:35:00Z</dcterms:created>
  <dcterms:modified xsi:type="dcterms:W3CDTF">2014-10-24T15:36:00Z</dcterms:modified>
</cp:coreProperties>
</file>