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851" w:rsidRPr="005830AA" w:rsidRDefault="00E94AFC" w:rsidP="00072B86">
      <w:pPr>
        <w:jc w:val="center"/>
        <w:rPr>
          <w:rFonts w:ascii="Garamond" w:hAnsi="Garamond"/>
          <w:b/>
          <w:sz w:val="26"/>
          <w:szCs w:val="26"/>
          <w:u w:val="single"/>
        </w:rPr>
      </w:pPr>
      <w:r w:rsidRPr="005830AA">
        <w:rPr>
          <w:rFonts w:ascii="Garamond" w:hAnsi="Garamond"/>
          <w:b/>
          <w:sz w:val="26"/>
          <w:szCs w:val="26"/>
          <w:u w:val="single"/>
        </w:rPr>
        <w:t>VETO DEL PODER EJECUTIVO A LA ORDENANZA Nº 3197/2014</w:t>
      </w:r>
    </w:p>
    <w:p w:rsidR="00E94AFC" w:rsidRPr="00072B86" w:rsidRDefault="00E94AFC" w:rsidP="00072B86">
      <w:pPr>
        <w:jc w:val="center"/>
        <w:rPr>
          <w:rFonts w:ascii="Garamond" w:hAnsi="Garamond"/>
          <w:b/>
          <w:sz w:val="26"/>
          <w:szCs w:val="26"/>
        </w:rPr>
      </w:pPr>
      <w:r w:rsidRPr="005830AA">
        <w:rPr>
          <w:rFonts w:ascii="Garamond" w:hAnsi="Garamond"/>
          <w:b/>
          <w:sz w:val="26"/>
          <w:szCs w:val="26"/>
          <w:u w:val="single"/>
        </w:rPr>
        <w:t xml:space="preserve">EXPEDIENTE </w:t>
      </w:r>
      <w:r w:rsidR="00072B86" w:rsidRPr="005830AA">
        <w:rPr>
          <w:rFonts w:ascii="Garamond" w:hAnsi="Garamond"/>
          <w:b/>
          <w:sz w:val="26"/>
          <w:szCs w:val="26"/>
          <w:u w:val="single"/>
        </w:rPr>
        <w:t>43/2014</w:t>
      </w:r>
    </w:p>
    <w:p w:rsidR="00E94AFC" w:rsidRDefault="00E94AFC">
      <w:pPr>
        <w:rPr>
          <w:rFonts w:ascii="Garamond" w:hAnsi="Garamond"/>
          <w:sz w:val="26"/>
          <w:szCs w:val="26"/>
        </w:rPr>
      </w:pPr>
      <w:bookmarkStart w:id="0" w:name="_GoBack"/>
      <w:bookmarkEnd w:id="0"/>
    </w:p>
    <w:p w:rsidR="00E94AFC" w:rsidRDefault="00E94AFC">
      <w:pPr>
        <w:rPr>
          <w:rFonts w:ascii="Garamond" w:hAnsi="Garamond"/>
          <w:b/>
          <w:sz w:val="26"/>
          <w:szCs w:val="26"/>
        </w:rPr>
      </w:pPr>
      <w:r>
        <w:rPr>
          <w:rFonts w:ascii="Garamond" w:hAnsi="Garamond"/>
          <w:b/>
          <w:sz w:val="26"/>
          <w:szCs w:val="26"/>
        </w:rPr>
        <w:t>VISTO:</w:t>
      </w:r>
    </w:p>
    <w:p w:rsidR="00E94AFC" w:rsidRDefault="00E94AFC" w:rsidP="00E94AFC">
      <w:pPr>
        <w:jc w:val="both"/>
        <w:rPr>
          <w:rFonts w:ascii="Garamond" w:hAnsi="Garamond"/>
          <w:sz w:val="26"/>
          <w:szCs w:val="26"/>
        </w:rPr>
      </w:pPr>
      <w:r>
        <w:rPr>
          <w:rFonts w:ascii="Garamond" w:hAnsi="Garamond"/>
          <w:sz w:val="26"/>
          <w:szCs w:val="26"/>
        </w:rPr>
        <w:t>La Ordenanza Municipal Nº 3197/2014;</w:t>
      </w:r>
    </w:p>
    <w:p w:rsidR="00E94AFC" w:rsidRDefault="00E94AFC" w:rsidP="00E94AFC">
      <w:pPr>
        <w:jc w:val="both"/>
        <w:rPr>
          <w:rFonts w:ascii="Garamond" w:hAnsi="Garamond"/>
          <w:b/>
          <w:sz w:val="26"/>
          <w:szCs w:val="26"/>
        </w:rPr>
      </w:pPr>
      <w:r>
        <w:rPr>
          <w:rFonts w:ascii="Garamond" w:hAnsi="Garamond"/>
          <w:b/>
          <w:sz w:val="26"/>
          <w:szCs w:val="26"/>
        </w:rPr>
        <w:t>CONSIDERANDO:</w:t>
      </w:r>
    </w:p>
    <w:p w:rsidR="00E94AFC" w:rsidRDefault="00E94AFC" w:rsidP="00E94AFC">
      <w:pPr>
        <w:jc w:val="both"/>
        <w:rPr>
          <w:rFonts w:ascii="Garamond" w:hAnsi="Garamond"/>
          <w:sz w:val="26"/>
          <w:szCs w:val="26"/>
        </w:rPr>
      </w:pPr>
      <w:r>
        <w:rPr>
          <w:rFonts w:ascii="Garamond" w:hAnsi="Garamond"/>
          <w:b/>
          <w:sz w:val="26"/>
          <w:szCs w:val="26"/>
        </w:rPr>
        <w:tab/>
      </w:r>
      <w:r>
        <w:rPr>
          <w:rFonts w:ascii="Garamond" w:hAnsi="Garamond"/>
          <w:sz w:val="26"/>
          <w:szCs w:val="26"/>
        </w:rPr>
        <w:t>Que dicho instrumento normativo dispone en su artículo primero que “el Departamento Ejecutivo deberá pagarles a los empleados de planta temporaria, las asignaciones familiares y ayuda escolar por hijo, en la misma forma, oportunidad y cuantía en que abona dichos conceptos a los empleados de planta permanente”.</w:t>
      </w:r>
    </w:p>
    <w:p w:rsidR="00E94AFC" w:rsidRDefault="00E94AFC" w:rsidP="00E94AFC">
      <w:pPr>
        <w:jc w:val="both"/>
        <w:rPr>
          <w:rFonts w:ascii="Garamond" w:hAnsi="Garamond"/>
          <w:sz w:val="26"/>
          <w:szCs w:val="26"/>
        </w:rPr>
      </w:pPr>
      <w:r>
        <w:rPr>
          <w:rFonts w:ascii="Garamond" w:hAnsi="Garamond"/>
          <w:sz w:val="26"/>
          <w:szCs w:val="26"/>
        </w:rPr>
        <w:tab/>
        <w:t>Que en el artículo segundo “Autoriza al Poder Ejecutivo para efectuar el presupuesto de gastos y recursos para el ejercicio año 2015, las adecuaciones presupuestarias que resulten necesarias para el cumplimiento de la presente Ordenanza”.</w:t>
      </w:r>
    </w:p>
    <w:p w:rsidR="00E94AFC" w:rsidRDefault="00E94AFC" w:rsidP="00E94AFC">
      <w:pPr>
        <w:jc w:val="both"/>
        <w:rPr>
          <w:rFonts w:ascii="Garamond" w:hAnsi="Garamond"/>
          <w:sz w:val="26"/>
          <w:szCs w:val="26"/>
        </w:rPr>
      </w:pPr>
      <w:r>
        <w:rPr>
          <w:rFonts w:ascii="Garamond" w:hAnsi="Garamond"/>
          <w:sz w:val="26"/>
          <w:szCs w:val="26"/>
        </w:rPr>
        <w:tab/>
        <w:t>El Poder Ejecutivo Municipal considera que esa ordenanza es de imposible aplicación por cuanto viola disposiciones constitucionales por lo que la veta totalmente en tiempo y forma.</w:t>
      </w:r>
    </w:p>
    <w:p w:rsidR="00EE5874" w:rsidRDefault="00E94AFC" w:rsidP="00E94AFC">
      <w:pPr>
        <w:jc w:val="both"/>
        <w:rPr>
          <w:rFonts w:ascii="Garamond" w:hAnsi="Garamond"/>
          <w:sz w:val="26"/>
          <w:szCs w:val="26"/>
        </w:rPr>
      </w:pPr>
      <w:r>
        <w:rPr>
          <w:rFonts w:ascii="Garamond" w:hAnsi="Garamond"/>
          <w:sz w:val="26"/>
          <w:szCs w:val="26"/>
        </w:rPr>
        <w:tab/>
        <w:t>El articulo 103 inc. 2º de la Constitución</w:t>
      </w:r>
      <w:r w:rsidR="00EE5874">
        <w:rPr>
          <w:rFonts w:ascii="Garamond" w:hAnsi="Garamond"/>
          <w:sz w:val="26"/>
          <w:szCs w:val="26"/>
        </w:rPr>
        <w:t xml:space="preserve"> de la Provincia de Buenos Aires (Capitulo V. Atribuciones del Poder Legislativo) dispone, para el ámbito provincial que “con relación a nuevos gastos, dentro de la ley de presupuesto, la iniciativa corresponderá exclusivamente al Poder Ejecutivo; pero la Legislatura podrá disminuir o suprimir los que le fuesen propuestos”.</w:t>
      </w:r>
    </w:p>
    <w:p w:rsidR="00EE5874" w:rsidRDefault="00EE5874" w:rsidP="00E94AFC">
      <w:pPr>
        <w:jc w:val="both"/>
        <w:rPr>
          <w:rFonts w:ascii="Garamond" w:hAnsi="Garamond"/>
          <w:sz w:val="26"/>
          <w:szCs w:val="26"/>
        </w:rPr>
      </w:pPr>
      <w:r>
        <w:rPr>
          <w:rFonts w:ascii="Garamond" w:hAnsi="Garamond"/>
          <w:sz w:val="26"/>
          <w:szCs w:val="26"/>
        </w:rPr>
        <w:t>Consecuente con el criterio de esa norma, el art. 192 inc. 5º del mismo cuerpo legal (</w:t>
      </w:r>
      <w:r w:rsidR="00BC0575">
        <w:rPr>
          <w:rFonts w:ascii="Garamond" w:hAnsi="Garamond"/>
          <w:sz w:val="26"/>
          <w:szCs w:val="26"/>
        </w:rPr>
        <w:t>Sección</w:t>
      </w:r>
      <w:r>
        <w:rPr>
          <w:rFonts w:ascii="Garamond" w:hAnsi="Garamond"/>
          <w:sz w:val="26"/>
          <w:szCs w:val="26"/>
        </w:rPr>
        <w:t xml:space="preserve"> </w:t>
      </w:r>
      <w:r w:rsidR="00BC0575">
        <w:rPr>
          <w:rFonts w:ascii="Garamond" w:hAnsi="Garamond"/>
          <w:sz w:val="26"/>
          <w:szCs w:val="26"/>
        </w:rPr>
        <w:t>Séptima</w:t>
      </w:r>
      <w:r>
        <w:rPr>
          <w:rFonts w:ascii="Garamond" w:hAnsi="Garamond"/>
          <w:sz w:val="26"/>
          <w:szCs w:val="26"/>
        </w:rPr>
        <w:t xml:space="preserve">. Del régimen municipal. Capitulo único) dispone expresamente que”… el presupuesto será proyectado por el departamento ejecutivo y el deliberativo no </w:t>
      </w:r>
      <w:r w:rsidR="00BC0575">
        <w:rPr>
          <w:rFonts w:ascii="Garamond" w:hAnsi="Garamond"/>
          <w:sz w:val="26"/>
          <w:szCs w:val="26"/>
        </w:rPr>
        <w:t>está</w:t>
      </w:r>
      <w:r>
        <w:rPr>
          <w:rFonts w:ascii="Garamond" w:hAnsi="Garamond"/>
          <w:sz w:val="26"/>
          <w:szCs w:val="26"/>
        </w:rPr>
        <w:t xml:space="preserve"> facultado para aumentar su monto total”.</w:t>
      </w:r>
    </w:p>
    <w:p w:rsidR="00EE5874" w:rsidRDefault="00EE5874" w:rsidP="00E94AFC">
      <w:pPr>
        <w:jc w:val="both"/>
        <w:rPr>
          <w:rFonts w:ascii="Garamond" w:hAnsi="Garamond"/>
          <w:sz w:val="26"/>
          <w:szCs w:val="26"/>
        </w:rPr>
      </w:pPr>
      <w:r>
        <w:rPr>
          <w:rFonts w:ascii="Garamond" w:hAnsi="Garamond"/>
          <w:sz w:val="26"/>
          <w:szCs w:val="26"/>
        </w:rPr>
        <w:tab/>
        <w:t xml:space="preserve">Asimismo, establece que “toda ordenanza especial que autorice gastos no previstos en el presupuesto, deberá establecer los recursos con que han de ser cubiertos” y el art. 38 de la Ley 13.767 que regula la </w:t>
      </w:r>
      <w:r w:rsidR="00BC0575">
        <w:rPr>
          <w:rFonts w:ascii="Garamond" w:hAnsi="Garamond"/>
          <w:sz w:val="26"/>
          <w:szCs w:val="26"/>
        </w:rPr>
        <w:t>Administración</w:t>
      </w:r>
      <w:r>
        <w:rPr>
          <w:rFonts w:ascii="Garamond" w:hAnsi="Garamond"/>
          <w:sz w:val="26"/>
          <w:szCs w:val="26"/>
        </w:rPr>
        <w:t xml:space="preserve"> Financiera dispone que “toda ley autorice gastos no previstos en el Presupuesto General deberá especificar las fuentes de los recursos a utilizar para su financiamiento”.</w:t>
      </w:r>
    </w:p>
    <w:p w:rsidR="00EE5874" w:rsidRDefault="00EE5874" w:rsidP="00E94AFC">
      <w:pPr>
        <w:jc w:val="both"/>
        <w:rPr>
          <w:rFonts w:ascii="Garamond" w:hAnsi="Garamond"/>
          <w:sz w:val="26"/>
          <w:szCs w:val="26"/>
        </w:rPr>
      </w:pPr>
      <w:r>
        <w:rPr>
          <w:rFonts w:ascii="Garamond" w:hAnsi="Garamond"/>
          <w:sz w:val="26"/>
          <w:szCs w:val="26"/>
        </w:rPr>
        <w:tab/>
        <w:t xml:space="preserve">La ordenanza ahora vetada dispone que el Poder Ejecutado Municipal afronte nuevos gastos que </w:t>
      </w:r>
      <w:r w:rsidR="00BC0575">
        <w:rPr>
          <w:rFonts w:ascii="Garamond" w:hAnsi="Garamond"/>
          <w:sz w:val="26"/>
          <w:szCs w:val="26"/>
        </w:rPr>
        <w:t>habrán</w:t>
      </w:r>
      <w:r>
        <w:rPr>
          <w:rFonts w:ascii="Garamond" w:hAnsi="Garamond"/>
          <w:sz w:val="26"/>
          <w:szCs w:val="26"/>
        </w:rPr>
        <w:t xml:space="preserve"> de impactar en el erario municipal sin la correspondiente previsión de los fondos que afectarían para hacer frente a los </w:t>
      </w:r>
      <w:r>
        <w:rPr>
          <w:rFonts w:ascii="Garamond" w:hAnsi="Garamond"/>
          <w:sz w:val="26"/>
          <w:szCs w:val="26"/>
        </w:rPr>
        <w:lastRenderedPageBreak/>
        <w:t>mismos, por lo que además, este Poder Ejecutivo debería recurrir a partidas pensadas para gastos que también tienen como destino el cumplimiento de las obligaciones a cargo de la Municipalidad.</w:t>
      </w:r>
    </w:p>
    <w:p w:rsidR="00EE5874" w:rsidRDefault="00EE5874" w:rsidP="00E94AFC">
      <w:pPr>
        <w:jc w:val="both"/>
        <w:rPr>
          <w:rFonts w:ascii="Garamond" w:hAnsi="Garamond"/>
          <w:sz w:val="26"/>
          <w:szCs w:val="26"/>
        </w:rPr>
      </w:pPr>
      <w:r>
        <w:rPr>
          <w:rFonts w:ascii="Garamond" w:hAnsi="Garamond"/>
          <w:sz w:val="26"/>
          <w:szCs w:val="26"/>
        </w:rPr>
        <w:tab/>
        <w:t>No es óbice a ello, que se haya previsto el pago de las asignaciones y ayudas para el año próximo pues, también, esa previsión importa un avasallamiento de las potestades que son propias del poder administrador, no solo en cuanto a la administración de los fondos públicos sino que pretende determinar la política salarial del Ejecutivo marcándole el rumbo que debe tomar en ese sentido.</w:t>
      </w:r>
    </w:p>
    <w:p w:rsidR="00EE5874" w:rsidRDefault="00EE5874" w:rsidP="00E94AFC">
      <w:pPr>
        <w:jc w:val="both"/>
        <w:rPr>
          <w:rFonts w:ascii="Garamond" w:hAnsi="Garamond"/>
          <w:sz w:val="26"/>
          <w:szCs w:val="26"/>
        </w:rPr>
      </w:pPr>
      <w:r>
        <w:rPr>
          <w:rFonts w:ascii="Garamond" w:hAnsi="Garamond"/>
          <w:sz w:val="26"/>
          <w:szCs w:val="26"/>
        </w:rPr>
        <w:tab/>
        <w:t>En esos términos, la violación de las normas constitucionales y legales antes reseñadas es palmaria. Como también lo es la injerencia del H.C.D. en el área de las incumbencias que son propias del Ejecutivo municipal generando, innecesariamente un conflicto de poderes que puede evitarse con este veto.</w:t>
      </w:r>
    </w:p>
    <w:p w:rsidR="00E94AFC" w:rsidRDefault="00E94AFC" w:rsidP="00E94AFC">
      <w:pPr>
        <w:jc w:val="both"/>
        <w:rPr>
          <w:rFonts w:ascii="Garamond" w:hAnsi="Garamond"/>
          <w:sz w:val="26"/>
          <w:szCs w:val="26"/>
        </w:rPr>
      </w:pPr>
      <w:r>
        <w:rPr>
          <w:rFonts w:ascii="Garamond" w:hAnsi="Garamond"/>
          <w:sz w:val="26"/>
          <w:szCs w:val="26"/>
        </w:rPr>
        <w:t xml:space="preserve"> </w:t>
      </w:r>
      <w:r w:rsidR="00EE5874">
        <w:rPr>
          <w:rFonts w:ascii="Garamond" w:hAnsi="Garamond"/>
          <w:sz w:val="26"/>
          <w:szCs w:val="26"/>
        </w:rPr>
        <w:tab/>
      </w:r>
      <w:r w:rsidR="00BC0575">
        <w:rPr>
          <w:rFonts w:ascii="Garamond" w:hAnsi="Garamond"/>
          <w:sz w:val="26"/>
          <w:szCs w:val="26"/>
        </w:rPr>
        <w:t>Así</w:t>
      </w:r>
      <w:r w:rsidR="00EE5874">
        <w:rPr>
          <w:rFonts w:ascii="Garamond" w:hAnsi="Garamond"/>
          <w:sz w:val="26"/>
          <w:szCs w:val="26"/>
        </w:rPr>
        <w:t xml:space="preserve"> pues, la ordenanza Nº 3197/2014 es nula por contravenir normas de rango superior.</w:t>
      </w:r>
    </w:p>
    <w:p w:rsidR="00EE5874" w:rsidRDefault="00EE5874" w:rsidP="00E94AFC">
      <w:pPr>
        <w:jc w:val="both"/>
        <w:rPr>
          <w:rFonts w:ascii="Garamond" w:hAnsi="Garamond"/>
          <w:sz w:val="26"/>
          <w:szCs w:val="26"/>
        </w:rPr>
      </w:pPr>
      <w:r>
        <w:rPr>
          <w:rFonts w:ascii="Garamond" w:hAnsi="Garamond"/>
          <w:sz w:val="26"/>
          <w:szCs w:val="26"/>
        </w:rPr>
        <w:tab/>
        <w:t xml:space="preserve">El </w:t>
      </w:r>
      <w:r w:rsidR="00BC0575">
        <w:rPr>
          <w:rFonts w:ascii="Garamond" w:hAnsi="Garamond"/>
          <w:sz w:val="26"/>
          <w:szCs w:val="26"/>
        </w:rPr>
        <w:t>artículo</w:t>
      </w:r>
      <w:r>
        <w:rPr>
          <w:rFonts w:ascii="Garamond" w:hAnsi="Garamond"/>
          <w:sz w:val="26"/>
          <w:szCs w:val="26"/>
        </w:rPr>
        <w:t xml:space="preserve"> 3 de la </w:t>
      </w:r>
      <w:r w:rsidR="00BC0575">
        <w:rPr>
          <w:rFonts w:ascii="Garamond" w:hAnsi="Garamond"/>
          <w:sz w:val="26"/>
          <w:szCs w:val="26"/>
        </w:rPr>
        <w:t>Constitución</w:t>
      </w:r>
      <w:r>
        <w:rPr>
          <w:rFonts w:ascii="Garamond" w:hAnsi="Garamond"/>
          <w:sz w:val="26"/>
          <w:szCs w:val="26"/>
        </w:rPr>
        <w:t xml:space="preserve"> Provincial dispone que “la arrogación ilegitima de funciones de un poder en desmedro de otro, será nula de nulidad absoluta y los actos que de ellos deriven quedaran sujetos a revisión ulterior” y el </w:t>
      </w:r>
      <w:r w:rsidR="00BC0575">
        <w:rPr>
          <w:rFonts w:ascii="Garamond" w:hAnsi="Garamond"/>
          <w:sz w:val="26"/>
          <w:szCs w:val="26"/>
        </w:rPr>
        <w:t>artículo</w:t>
      </w:r>
      <w:r>
        <w:rPr>
          <w:rFonts w:ascii="Garamond" w:hAnsi="Garamond"/>
          <w:sz w:val="26"/>
          <w:szCs w:val="26"/>
        </w:rPr>
        <w:t xml:space="preserve"> 31 de la </w:t>
      </w:r>
      <w:r w:rsidR="00BC0575">
        <w:rPr>
          <w:rFonts w:ascii="Garamond" w:hAnsi="Garamond"/>
          <w:sz w:val="26"/>
          <w:szCs w:val="26"/>
        </w:rPr>
        <w:t>Constitución</w:t>
      </w:r>
      <w:r>
        <w:rPr>
          <w:rFonts w:ascii="Garamond" w:hAnsi="Garamond"/>
          <w:sz w:val="26"/>
          <w:szCs w:val="26"/>
        </w:rPr>
        <w:t xml:space="preserve"> Nacional establece la jerarquía de las normas, debiendo las ordenanzas municipales conformarse a las de rango superior. En esa escala, las ordenanzas, ultimo </w:t>
      </w:r>
      <w:r w:rsidR="00BC0575">
        <w:rPr>
          <w:rFonts w:ascii="Garamond" w:hAnsi="Garamond"/>
          <w:sz w:val="26"/>
          <w:szCs w:val="26"/>
        </w:rPr>
        <w:t>escalón</w:t>
      </w:r>
      <w:r>
        <w:rPr>
          <w:rFonts w:ascii="Garamond" w:hAnsi="Garamond"/>
          <w:sz w:val="26"/>
          <w:szCs w:val="26"/>
        </w:rPr>
        <w:t xml:space="preserve"> de la pirámide, no pueden contradecir normas provinciales ni nacionales.</w:t>
      </w:r>
    </w:p>
    <w:p w:rsidR="00EE5874" w:rsidRDefault="000B4616" w:rsidP="00E94AFC">
      <w:pPr>
        <w:jc w:val="both"/>
        <w:rPr>
          <w:rFonts w:ascii="Garamond" w:hAnsi="Garamond"/>
          <w:sz w:val="26"/>
          <w:szCs w:val="26"/>
        </w:rPr>
      </w:pPr>
      <w:r>
        <w:rPr>
          <w:rFonts w:ascii="Garamond" w:hAnsi="Garamond"/>
          <w:sz w:val="26"/>
          <w:szCs w:val="26"/>
        </w:rPr>
        <w:tab/>
        <w:t xml:space="preserve">La ordenanza Nº 3197/2014 que nace de una iniciativa del H.C.D. impone nuevos gastos a la </w:t>
      </w:r>
      <w:r w:rsidR="00BC0575">
        <w:rPr>
          <w:rFonts w:ascii="Garamond" w:hAnsi="Garamond"/>
          <w:sz w:val="26"/>
          <w:szCs w:val="26"/>
        </w:rPr>
        <w:t>Administración</w:t>
      </w:r>
      <w:r>
        <w:rPr>
          <w:rFonts w:ascii="Garamond" w:hAnsi="Garamond"/>
          <w:sz w:val="26"/>
          <w:szCs w:val="26"/>
        </w:rPr>
        <w:t xml:space="preserve"> Municipal sin siquiera estimar los montos que </w:t>
      </w:r>
      <w:r w:rsidR="00BC0575">
        <w:rPr>
          <w:rFonts w:ascii="Garamond" w:hAnsi="Garamond"/>
          <w:sz w:val="26"/>
          <w:szCs w:val="26"/>
        </w:rPr>
        <w:t>irrogarían</w:t>
      </w:r>
      <w:r>
        <w:rPr>
          <w:rFonts w:ascii="Garamond" w:hAnsi="Garamond"/>
          <w:sz w:val="26"/>
          <w:szCs w:val="26"/>
        </w:rPr>
        <w:t xml:space="preserve"> los mismos, derivando al poder responsable de hacer cumplir las ordenanzas, la responsabilidad de efectuar “en el presupuesto de gastos y recursos para el ejercicio año 2015, las adecuaciones presupuestarias que resulten necesarias para el cumplimiento de la presente Ordenanza”, asumiendo una actitud de supremacía respecto del Ejecutivo Municipal, lo que es a todas luces inadmisible y manifiestamente ilegal.</w:t>
      </w:r>
    </w:p>
    <w:p w:rsidR="000B4616" w:rsidRDefault="000B4616" w:rsidP="00E94AFC">
      <w:pPr>
        <w:jc w:val="both"/>
        <w:rPr>
          <w:rFonts w:ascii="Garamond" w:hAnsi="Garamond"/>
          <w:sz w:val="26"/>
          <w:szCs w:val="26"/>
        </w:rPr>
      </w:pPr>
      <w:r>
        <w:rPr>
          <w:rFonts w:ascii="Garamond" w:hAnsi="Garamond"/>
          <w:sz w:val="26"/>
          <w:szCs w:val="26"/>
        </w:rPr>
        <w:tab/>
        <w:t xml:space="preserve">Tal como se desprende de </w:t>
      </w:r>
      <w:r w:rsidR="00BC0575">
        <w:rPr>
          <w:rFonts w:ascii="Garamond" w:hAnsi="Garamond"/>
          <w:sz w:val="26"/>
          <w:szCs w:val="26"/>
        </w:rPr>
        <w:t>la redacción</w:t>
      </w:r>
      <w:r>
        <w:rPr>
          <w:rFonts w:ascii="Garamond" w:hAnsi="Garamond"/>
          <w:sz w:val="26"/>
          <w:szCs w:val="26"/>
        </w:rPr>
        <w:t xml:space="preserve"> de la Ordenanza vetada, </w:t>
      </w:r>
      <w:r w:rsidR="00BC0575">
        <w:rPr>
          <w:rFonts w:ascii="Garamond" w:hAnsi="Garamond"/>
          <w:sz w:val="26"/>
          <w:szCs w:val="26"/>
        </w:rPr>
        <w:t>está</w:t>
      </w:r>
      <w:r>
        <w:rPr>
          <w:rFonts w:ascii="Garamond" w:hAnsi="Garamond"/>
          <w:sz w:val="26"/>
          <w:szCs w:val="26"/>
        </w:rPr>
        <w:t xml:space="preserve"> claro que para su cumplimiento es preciso afectar partidas del presupuesto, cuestión que </w:t>
      </w:r>
      <w:r w:rsidR="00BC0575">
        <w:rPr>
          <w:rFonts w:ascii="Garamond" w:hAnsi="Garamond"/>
          <w:sz w:val="26"/>
          <w:szCs w:val="26"/>
        </w:rPr>
        <w:t>está</w:t>
      </w:r>
      <w:r>
        <w:rPr>
          <w:rFonts w:ascii="Garamond" w:hAnsi="Garamond"/>
          <w:sz w:val="26"/>
          <w:szCs w:val="26"/>
        </w:rPr>
        <w:t xml:space="preserve"> reservada exclusivamente al ámbito de incumbencias del Poder Ejecutivo Municipal, conforme a la normativa “ut supra” mencionada.</w:t>
      </w:r>
    </w:p>
    <w:p w:rsidR="000B4616" w:rsidRDefault="000B4616" w:rsidP="00E94AFC">
      <w:pPr>
        <w:jc w:val="both"/>
        <w:rPr>
          <w:rFonts w:ascii="Garamond" w:hAnsi="Garamond"/>
          <w:sz w:val="26"/>
          <w:szCs w:val="26"/>
        </w:rPr>
      </w:pPr>
      <w:r>
        <w:rPr>
          <w:rFonts w:ascii="Garamond" w:hAnsi="Garamond"/>
          <w:sz w:val="26"/>
          <w:szCs w:val="26"/>
        </w:rPr>
        <w:tab/>
        <w:t xml:space="preserve">Es preciso aclarar que la intromisión en la elaboración del proyecto de presupuesto que se pretende con esta ordenanza imponiendo nuevos gastos, solo </w:t>
      </w:r>
      <w:r w:rsidR="00BC0575">
        <w:rPr>
          <w:rFonts w:ascii="Garamond" w:hAnsi="Garamond"/>
          <w:sz w:val="26"/>
          <w:szCs w:val="26"/>
        </w:rPr>
        <w:t>habrán</w:t>
      </w:r>
      <w:r>
        <w:rPr>
          <w:rFonts w:ascii="Garamond" w:hAnsi="Garamond"/>
          <w:sz w:val="26"/>
          <w:szCs w:val="26"/>
        </w:rPr>
        <w:t xml:space="preserve"> de conducir a un probable déficit del estado municipal con serio riesgo de quedar afectado el equilibrio financiero desatendiendo otras áreas importantes de la </w:t>
      </w:r>
      <w:r>
        <w:rPr>
          <w:rFonts w:ascii="Garamond" w:hAnsi="Garamond"/>
          <w:sz w:val="26"/>
          <w:szCs w:val="26"/>
        </w:rPr>
        <w:lastRenderedPageBreak/>
        <w:t>administración local que resultan ser propias de la jurisdicción del ejecutivo, sin que ello importe un juicio de valor acerca de la materia sobre la que versa esta ordenanza ni mengua en su consideración.</w:t>
      </w:r>
    </w:p>
    <w:p w:rsidR="000B4616" w:rsidRDefault="000B4616" w:rsidP="00E94AFC">
      <w:pPr>
        <w:jc w:val="both"/>
        <w:rPr>
          <w:rFonts w:ascii="Garamond" w:hAnsi="Garamond"/>
          <w:sz w:val="26"/>
          <w:szCs w:val="26"/>
        </w:rPr>
      </w:pPr>
      <w:r>
        <w:rPr>
          <w:rFonts w:ascii="Garamond" w:hAnsi="Garamond"/>
          <w:sz w:val="26"/>
          <w:szCs w:val="26"/>
        </w:rPr>
        <w:tab/>
        <w:t xml:space="preserve">También esta ordenanza evidencia una indebida injerencia en las facultades del ejecutivo al imponer remuneraciones que alteran la política salarial del municipio (arts. 19 inc. “a” y 104, ley 11.757, modif. Ley 11.853) y el equilibrio de las cuentas </w:t>
      </w:r>
      <w:r w:rsidR="00BC0575">
        <w:rPr>
          <w:rFonts w:ascii="Garamond" w:hAnsi="Garamond"/>
          <w:sz w:val="26"/>
          <w:szCs w:val="26"/>
        </w:rPr>
        <w:t>públicas</w:t>
      </w:r>
      <w:r>
        <w:rPr>
          <w:rFonts w:ascii="Garamond" w:hAnsi="Garamond"/>
          <w:sz w:val="26"/>
          <w:szCs w:val="26"/>
        </w:rPr>
        <w:t>.</w:t>
      </w:r>
    </w:p>
    <w:p w:rsidR="000B4616" w:rsidRDefault="000B4616" w:rsidP="00E94AFC">
      <w:pPr>
        <w:jc w:val="both"/>
        <w:rPr>
          <w:rFonts w:ascii="Garamond" w:hAnsi="Garamond"/>
          <w:sz w:val="26"/>
          <w:szCs w:val="26"/>
        </w:rPr>
      </w:pPr>
      <w:r>
        <w:rPr>
          <w:rFonts w:ascii="Garamond" w:hAnsi="Garamond"/>
          <w:sz w:val="26"/>
          <w:szCs w:val="26"/>
        </w:rPr>
        <w:tab/>
        <w:t>La jurisprudencia del Mas Alto Tribunal Provincial se ha expedido en casos como los que nos ocupa, declarando la nulidad de ordenanzas que, como la Nº 3197/2014 violan normas constitucionales con disposiciones que afectan la independencia de los poderes del Estado Municipal.</w:t>
      </w:r>
    </w:p>
    <w:p w:rsidR="000B4616" w:rsidRDefault="000B4616" w:rsidP="00E94AFC">
      <w:pPr>
        <w:jc w:val="both"/>
        <w:rPr>
          <w:rFonts w:ascii="Garamond" w:hAnsi="Garamond"/>
          <w:sz w:val="26"/>
          <w:szCs w:val="26"/>
        </w:rPr>
      </w:pPr>
      <w:r>
        <w:rPr>
          <w:rFonts w:ascii="Garamond" w:hAnsi="Garamond"/>
          <w:sz w:val="26"/>
          <w:szCs w:val="26"/>
        </w:rPr>
        <w:tab/>
        <w:t xml:space="preserve">En su redacción originaria la Ley </w:t>
      </w:r>
      <w:r w:rsidR="00BC0575">
        <w:rPr>
          <w:rFonts w:ascii="Garamond" w:hAnsi="Garamond"/>
          <w:sz w:val="26"/>
          <w:szCs w:val="26"/>
        </w:rPr>
        <w:t>Orgánica</w:t>
      </w:r>
      <w:r>
        <w:rPr>
          <w:rFonts w:ascii="Garamond" w:hAnsi="Garamond"/>
          <w:sz w:val="26"/>
          <w:szCs w:val="26"/>
        </w:rPr>
        <w:t xml:space="preserve"> de las Municipalidades (decreto ley 6769/1958) </w:t>
      </w:r>
      <w:r w:rsidR="00BC0575">
        <w:rPr>
          <w:rFonts w:ascii="Garamond" w:hAnsi="Garamond"/>
          <w:sz w:val="26"/>
          <w:szCs w:val="26"/>
        </w:rPr>
        <w:t>estableció</w:t>
      </w:r>
      <w:r>
        <w:rPr>
          <w:rFonts w:ascii="Garamond" w:hAnsi="Garamond"/>
          <w:sz w:val="26"/>
          <w:szCs w:val="26"/>
        </w:rPr>
        <w:t xml:space="preserve"> como atribución del Concejo Deliberante</w:t>
      </w:r>
      <w:r w:rsidR="0055332D">
        <w:rPr>
          <w:rFonts w:ascii="Garamond" w:hAnsi="Garamond"/>
          <w:sz w:val="26"/>
          <w:szCs w:val="26"/>
        </w:rPr>
        <w:t xml:space="preserve">, en su </w:t>
      </w:r>
      <w:r w:rsidR="00BC0575">
        <w:rPr>
          <w:rFonts w:ascii="Garamond" w:hAnsi="Garamond"/>
          <w:sz w:val="26"/>
          <w:szCs w:val="26"/>
        </w:rPr>
        <w:t>artículo</w:t>
      </w:r>
      <w:r w:rsidR="0055332D">
        <w:rPr>
          <w:rFonts w:ascii="Garamond" w:hAnsi="Garamond"/>
          <w:sz w:val="26"/>
          <w:szCs w:val="26"/>
        </w:rPr>
        <w:t xml:space="preserve"> 63 inc. 4, la de organizar la carrera administrativa.</w:t>
      </w:r>
    </w:p>
    <w:p w:rsidR="0055332D" w:rsidRDefault="0055332D" w:rsidP="00E94AFC">
      <w:pPr>
        <w:jc w:val="both"/>
        <w:rPr>
          <w:rFonts w:ascii="Garamond" w:hAnsi="Garamond"/>
          <w:sz w:val="26"/>
          <w:szCs w:val="26"/>
        </w:rPr>
      </w:pPr>
      <w:r>
        <w:rPr>
          <w:rFonts w:ascii="Garamond" w:hAnsi="Garamond"/>
          <w:sz w:val="26"/>
          <w:szCs w:val="26"/>
        </w:rPr>
        <w:tab/>
        <w:t xml:space="preserve">La ley 11.757 (publicada en el B.O.P. el 02/II/1996), a la par que derogo el </w:t>
      </w:r>
      <w:r w:rsidR="00BC0575">
        <w:rPr>
          <w:rFonts w:ascii="Garamond" w:hAnsi="Garamond"/>
          <w:sz w:val="26"/>
          <w:szCs w:val="26"/>
        </w:rPr>
        <w:t>artículo</w:t>
      </w:r>
      <w:r>
        <w:rPr>
          <w:rFonts w:ascii="Garamond" w:hAnsi="Garamond"/>
          <w:sz w:val="26"/>
          <w:szCs w:val="26"/>
        </w:rPr>
        <w:t xml:space="preserve"> citado (</w:t>
      </w:r>
      <w:r w:rsidR="00BC0575">
        <w:rPr>
          <w:rFonts w:ascii="Garamond" w:hAnsi="Garamond"/>
          <w:sz w:val="26"/>
          <w:szCs w:val="26"/>
        </w:rPr>
        <w:t>artículo</w:t>
      </w:r>
      <w:r>
        <w:rPr>
          <w:rFonts w:ascii="Garamond" w:hAnsi="Garamond"/>
          <w:sz w:val="26"/>
          <w:szCs w:val="26"/>
        </w:rPr>
        <w:t xml:space="preserve"> 106), sanciono el Estatuto para el Personal de las Municipalidades de la Provincia de Buenos Aires.</w:t>
      </w:r>
    </w:p>
    <w:p w:rsidR="0055332D" w:rsidRDefault="0055332D" w:rsidP="00E94AFC">
      <w:pPr>
        <w:jc w:val="both"/>
        <w:rPr>
          <w:rFonts w:ascii="Garamond" w:hAnsi="Garamond"/>
          <w:sz w:val="26"/>
          <w:szCs w:val="26"/>
        </w:rPr>
      </w:pPr>
      <w:r>
        <w:rPr>
          <w:rFonts w:ascii="Garamond" w:hAnsi="Garamond"/>
          <w:sz w:val="26"/>
          <w:szCs w:val="26"/>
        </w:rPr>
        <w:tab/>
        <w:t xml:space="preserve">E lo que al tema </w:t>
      </w:r>
      <w:r w:rsidR="00BC0575">
        <w:rPr>
          <w:rFonts w:ascii="Garamond" w:hAnsi="Garamond"/>
          <w:sz w:val="26"/>
          <w:szCs w:val="26"/>
        </w:rPr>
        <w:t>salarial</w:t>
      </w:r>
      <w:r>
        <w:rPr>
          <w:rFonts w:ascii="Garamond" w:hAnsi="Garamond"/>
          <w:sz w:val="26"/>
          <w:szCs w:val="26"/>
        </w:rPr>
        <w:t xml:space="preserve"> interesa </w:t>
      </w:r>
      <w:r w:rsidR="00BC0575">
        <w:rPr>
          <w:rFonts w:ascii="Garamond" w:hAnsi="Garamond"/>
          <w:sz w:val="26"/>
          <w:szCs w:val="26"/>
        </w:rPr>
        <w:t>estableció</w:t>
      </w:r>
      <w:r>
        <w:rPr>
          <w:rFonts w:ascii="Garamond" w:hAnsi="Garamond"/>
          <w:sz w:val="26"/>
          <w:szCs w:val="26"/>
        </w:rPr>
        <w:t xml:space="preserve"> en su </w:t>
      </w:r>
      <w:r w:rsidR="00BC0575">
        <w:rPr>
          <w:rFonts w:ascii="Garamond" w:hAnsi="Garamond"/>
          <w:sz w:val="26"/>
          <w:szCs w:val="26"/>
        </w:rPr>
        <w:t>artículo</w:t>
      </w:r>
      <w:r>
        <w:rPr>
          <w:rFonts w:ascii="Garamond" w:hAnsi="Garamond"/>
          <w:sz w:val="26"/>
          <w:szCs w:val="26"/>
        </w:rPr>
        <w:t xml:space="preserve"> 19 que “El agente tiene derecho a la retribución de sus servicios, de acuerdo con su ubicación en la carrera o en las demás situaciones previstas en este Estatuto y que deban ser remuneradas, conforme el principio que a igual situación de revista y d modalidades de prestación de servicios, gozara de </w:t>
      </w:r>
      <w:r w:rsidR="00BC0575">
        <w:rPr>
          <w:rFonts w:ascii="Garamond" w:hAnsi="Garamond"/>
          <w:sz w:val="26"/>
          <w:szCs w:val="26"/>
        </w:rPr>
        <w:t>idéntica</w:t>
      </w:r>
      <w:r>
        <w:rPr>
          <w:rFonts w:ascii="Garamond" w:hAnsi="Garamond"/>
          <w:sz w:val="26"/>
          <w:szCs w:val="26"/>
        </w:rPr>
        <w:t xml:space="preserve"> remuneración, la que se integrara con los siguientes conceptos…” y el articulo 98 </w:t>
      </w:r>
      <w:r w:rsidR="00BC0575">
        <w:rPr>
          <w:rFonts w:ascii="Garamond" w:hAnsi="Garamond"/>
          <w:sz w:val="26"/>
          <w:szCs w:val="26"/>
        </w:rPr>
        <w:t>establece</w:t>
      </w:r>
      <w:r>
        <w:rPr>
          <w:rFonts w:ascii="Garamond" w:hAnsi="Garamond"/>
          <w:sz w:val="26"/>
          <w:szCs w:val="26"/>
        </w:rPr>
        <w:t xml:space="preserve"> que las remuneraciones para el personal de planta temporaria, </w:t>
      </w:r>
      <w:r w:rsidR="00BC0575">
        <w:rPr>
          <w:rFonts w:ascii="Garamond" w:hAnsi="Garamond"/>
          <w:sz w:val="26"/>
          <w:szCs w:val="26"/>
        </w:rPr>
        <w:t>distinguiéndola</w:t>
      </w:r>
      <w:r>
        <w:rPr>
          <w:rFonts w:ascii="Garamond" w:hAnsi="Garamond"/>
          <w:sz w:val="26"/>
          <w:szCs w:val="26"/>
        </w:rPr>
        <w:t xml:space="preserve"> de las que corresponden al personal de planta permanente.</w:t>
      </w:r>
    </w:p>
    <w:p w:rsidR="0055332D" w:rsidRDefault="0055332D" w:rsidP="00E94AFC">
      <w:pPr>
        <w:jc w:val="both"/>
        <w:rPr>
          <w:rFonts w:ascii="Garamond" w:hAnsi="Garamond"/>
          <w:sz w:val="26"/>
          <w:szCs w:val="26"/>
        </w:rPr>
      </w:pPr>
      <w:r>
        <w:rPr>
          <w:rFonts w:ascii="Garamond" w:hAnsi="Garamond"/>
          <w:sz w:val="26"/>
          <w:szCs w:val="26"/>
        </w:rPr>
        <w:tab/>
        <w:t>El inciso a) contemplo como uno de los rubros que componen el salario al sueldo, disponiendo que el mismo se determinara por ordenanza para la categoría correspondiente a cada agrupamiento en que reviste.</w:t>
      </w:r>
    </w:p>
    <w:p w:rsidR="0055332D" w:rsidRDefault="0055332D" w:rsidP="00E94AFC">
      <w:pPr>
        <w:jc w:val="both"/>
        <w:rPr>
          <w:rFonts w:ascii="Garamond" w:hAnsi="Garamond"/>
          <w:sz w:val="26"/>
          <w:szCs w:val="26"/>
        </w:rPr>
      </w:pPr>
      <w:r>
        <w:rPr>
          <w:rFonts w:ascii="Garamond" w:hAnsi="Garamond"/>
          <w:sz w:val="26"/>
          <w:szCs w:val="26"/>
        </w:rPr>
        <w:tab/>
        <w:t xml:space="preserve">Por su parte el </w:t>
      </w:r>
      <w:r w:rsidR="00BC0575">
        <w:rPr>
          <w:rFonts w:ascii="Garamond" w:hAnsi="Garamond"/>
          <w:sz w:val="26"/>
          <w:szCs w:val="26"/>
        </w:rPr>
        <w:t>artículo</w:t>
      </w:r>
      <w:r>
        <w:rPr>
          <w:rFonts w:ascii="Garamond" w:hAnsi="Garamond"/>
          <w:sz w:val="26"/>
          <w:szCs w:val="26"/>
        </w:rPr>
        <w:t xml:space="preserve"> 104 de la ley 11.757 </w:t>
      </w:r>
      <w:r w:rsidR="00BC0575">
        <w:rPr>
          <w:rFonts w:ascii="Garamond" w:hAnsi="Garamond"/>
          <w:sz w:val="26"/>
          <w:szCs w:val="26"/>
        </w:rPr>
        <w:t>confirió</w:t>
      </w:r>
      <w:r>
        <w:rPr>
          <w:rFonts w:ascii="Garamond" w:hAnsi="Garamond"/>
          <w:sz w:val="26"/>
          <w:szCs w:val="26"/>
        </w:rPr>
        <w:t xml:space="preserve"> al mismo la atribución de reglamentar el escalafón y las </w:t>
      </w:r>
      <w:r w:rsidR="00BC0575">
        <w:rPr>
          <w:rFonts w:ascii="Garamond" w:hAnsi="Garamond"/>
          <w:sz w:val="26"/>
          <w:szCs w:val="26"/>
        </w:rPr>
        <w:t>nóminas</w:t>
      </w:r>
      <w:r>
        <w:rPr>
          <w:rFonts w:ascii="Garamond" w:hAnsi="Garamond"/>
          <w:sz w:val="26"/>
          <w:szCs w:val="26"/>
        </w:rPr>
        <w:t xml:space="preserve"> salariales.</w:t>
      </w:r>
    </w:p>
    <w:p w:rsidR="0055332D" w:rsidRDefault="0055332D" w:rsidP="00E94AFC">
      <w:pPr>
        <w:jc w:val="both"/>
        <w:rPr>
          <w:rFonts w:ascii="Garamond" w:hAnsi="Garamond"/>
          <w:sz w:val="26"/>
          <w:szCs w:val="26"/>
        </w:rPr>
      </w:pPr>
      <w:r>
        <w:rPr>
          <w:rFonts w:ascii="Garamond" w:hAnsi="Garamond"/>
          <w:sz w:val="26"/>
          <w:szCs w:val="26"/>
        </w:rPr>
        <w:tab/>
        <w:t>De la reseña normativa que antecede, y tal como lo ha advertido la SCBA en reiterados fallos, el Estatuto para el Personal de las Municipalidades introdujo modificaciones sustanciales en punto a las atribuciones de los departamentos que integran los municipios bonaerenses con relación a la organización y regulación de la carrera administrativa de sus agentes. No cabe hesitación que tras las reformas apuntadas, el legislador ha colocado en manos del Intendente la facultad de determinar y conformar la remuneración de los agentes municipales.</w:t>
      </w:r>
    </w:p>
    <w:p w:rsidR="0055332D" w:rsidRDefault="0055332D" w:rsidP="00E94AFC">
      <w:pPr>
        <w:jc w:val="both"/>
        <w:rPr>
          <w:rFonts w:ascii="Garamond" w:hAnsi="Garamond"/>
          <w:sz w:val="26"/>
          <w:szCs w:val="26"/>
        </w:rPr>
      </w:pPr>
      <w:r>
        <w:rPr>
          <w:rFonts w:ascii="Garamond" w:hAnsi="Garamond"/>
          <w:sz w:val="26"/>
          <w:szCs w:val="26"/>
        </w:rPr>
        <w:lastRenderedPageBreak/>
        <w:tab/>
        <w:t xml:space="preserve">De manera que, en el remoto supuesto que el H.C.D. resolviera insistir </w:t>
      </w:r>
      <w:r w:rsidR="00507EBC">
        <w:rPr>
          <w:rFonts w:ascii="Garamond" w:hAnsi="Garamond"/>
          <w:sz w:val="26"/>
          <w:szCs w:val="26"/>
        </w:rPr>
        <w:t xml:space="preserve">en el texto de la ordenanza vetada, se ratificaría una ordenanza nula (por ilegal e inconstitucionalidad) colocando al Poder Ejecutivo en situación de recurrir a la justicia como única via para obtener </w:t>
      </w:r>
      <w:r w:rsidR="00BC0575">
        <w:rPr>
          <w:rFonts w:ascii="Garamond" w:hAnsi="Garamond"/>
          <w:sz w:val="26"/>
          <w:szCs w:val="26"/>
        </w:rPr>
        <w:t>remedio judicial a tal anómala circunstancia.</w:t>
      </w:r>
    </w:p>
    <w:p w:rsidR="00BC0575" w:rsidRDefault="00BC0575" w:rsidP="00E94AFC">
      <w:pPr>
        <w:jc w:val="both"/>
        <w:rPr>
          <w:rFonts w:ascii="Garamond" w:hAnsi="Garamond"/>
          <w:b/>
          <w:sz w:val="26"/>
          <w:szCs w:val="26"/>
        </w:rPr>
      </w:pPr>
      <w:r>
        <w:rPr>
          <w:rFonts w:ascii="Garamond" w:hAnsi="Garamond"/>
          <w:sz w:val="26"/>
          <w:szCs w:val="26"/>
        </w:rPr>
        <w:tab/>
        <w:t xml:space="preserve">De lo expuesto hasta aquí, cabe concluir que el H.C.D. invadió la esfera de atribuciones del Poder Ejecutivo, provocando con ello </w:t>
      </w:r>
      <w:r>
        <w:rPr>
          <w:rFonts w:ascii="Garamond" w:hAnsi="Garamond"/>
          <w:b/>
          <w:sz w:val="26"/>
          <w:szCs w:val="26"/>
        </w:rPr>
        <w:t xml:space="preserve">la nulidad de ese acto y de todos los que de él deriven (artículo 3 segundo párrafo de la Constitución Provincial); </w:t>
      </w:r>
      <w:r>
        <w:rPr>
          <w:rFonts w:ascii="Garamond" w:hAnsi="Garamond"/>
          <w:sz w:val="26"/>
          <w:szCs w:val="26"/>
        </w:rPr>
        <w:t xml:space="preserve">que lo hizo contraviniendo la Constitución Provincial al </w:t>
      </w:r>
      <w:r>
        <w:rPr>
          <w:rFonts w:ascii="Garamond" w:hAnsi="Garamond"/>
          <w:b/>
          <w:sz w:val="26"/>
          <w:szCs w:val="26"/>
        </w:rPr>
        <w:t>proponer un proyecto de incumbencia exclusiva del Ejecutivo Municipal (artículo 103 inc. 2 Const. Pcial.) que establece nuevas erogaciones a cargo del erario municipal sin la previsión de la fuente de financiamiento (art. 192 inc. 5 Const. Pcial)</w:t>
      </w:r>
      <w:r>
        <w:rPr>
          <w:rFonts w:ascii="Garamond" w:hAnsi="Garamond"/>
          <w:sz w:val="26"/>
          <w:szCs w:val="26"/>
        </w:rPr>
        <w:t xml:space="preserve"> toda vez que las asignaciones familiares y la ayuda escolar por hijo para el personal temporario participan de aquella condición no pudiendo más que considerarse nuevas erogaciones y, finalmente, </w:t>
      </w:r>
      <w:r>
        <w:rPr>
          <w:rFonts w:ascii="Garamond" w:hAnsi="Garamond"/>
          <w:b/>
          <w:sz w:val="26"/>
          <w:szCs w:val="26"/>
        </w:rPr>
        <w:t>invadió la esfera de decisión sobre la política salarial que el articulo 104 y concordantes de la ley 11.757 reservan para el Ejecutivo Municipal.</w:t>
      </w:r>
    </w:p>
    <w:p w:rsidR="00BC0575" w:rsidRDefault="00BC0575" w:rsidP="00E94AFC">
      <w:pPr>
        <w:jc w:val="both"/>
        <w:rPr>
          <w:rFonts w:ascii="Garamond" w:hAnsi="Garamond"/>
          <w:sz w:val="26"/>
          <w:szCs w:val="26"/>
        </w:rPr>
      </w:pPr>
      <w:r>
        <w:rPr>
          <w:rFonts w:ascii="Garamond" w:hAnsi="Garamond"/>
          <w:b/>
          <w:sz w:val="26"/>
          <w:szCs w:val="26"/>
        </w:rPr>
        <w:tab/>
      </w:r>
      <w:r>
        <w:rPr>
          <w:rFonts w:ascii="Garamond" w:hAnsi="Garamond"/>
          <w:sz w:val="26"/>
          <w:szCs w:val="26"/>
        </w:rPr>
        <w:t>La gravedad de las violaciones legales en que incurre el texto normativo vetado surge claramente de la legislación reseñada aplicable a la materia de estudio y, dado que es obligación de los poderes del estado mantener la Supremacía de la Constitución (artículo 31 de ese cuerpo legal), es imperioso considerar este veto y hacer lugar al mismo a fin de evitar la vigencia de disposiciones legales inconstitucionales y, por consiguiente, nulas.</w:t>
      </w:r>
    </w:p>
    <w:p w:rsidR="00BC0575" w:rsidRDefault="00BC0575" w:rsidP="00E94AFC">
      <w:pPr>
        <w:jc w:val="both"/>
        <w:rPr>
          <w:rFonts w:ascii="Garamond" w:hAnsi="Garamond"/>
          <w:b/>
          <w:sz w:val="26"/>
          <w:szCs w:val="26"/>
        </w:rPr>
      </w:pPr>
      <w:r>
        <w:rPr>
          <w:rFonts w:ascii="Garamond" w:hAnsi="Garamond"/>
          <w:b/>
          <w:sz w:val="26"/>
          <w:szCs w:val="26"/>
        </w:rPr>
        <w:t>POR ELLO:</w:t>
      </w:r>
    </w:p>
    <w:p w:rsidR="00BC0575" w:rsidRDefault="00BC0575" w:rsidP="00E94AFC">
      <w:pPr>
        <w:jc w:val="both"/>
        <w:rPr>
          <w:rFonts w:ascii="Garamond" w:hAnsi="Garamond"/>
          <w:sz w:val="26"/>
          <w:szCs w:val="26"/>
        </w:rPr>
      </w:pPr>
      <w:r>
        <w:rPr>
          <w:rFonts w:ascii="Garamond" w:hAnsi="Garamond"/>
          <w:sz w:val="26"/>
          <w:szCs w:val="26"/>
        </w:rPr>
        <w:t>LA INTENDENTE MUNICIPAL DE VEINTINCINCO DE MAYO EN USO DE LAS ATRIBUCIONES CONFERIDAS POR EL ART. 108 INC. 2 DE LA L.O.:</w:t>
      </w:r>
    </w:p>
    <w:p w:rsidR="00BC0575" w:rsidRDefault="00BC0575" w:rsidP="00BC0575">
      <w:pPr>
        <w:jc w:val="center"/>
        <w:rPr>
          <w:rFonts w:ascii="Garamond" w:hAnsi="Garamond"/>
          <w:b/>
          <w:sz w:val="26"/>
          <w:szCs w:val="26"/>
        </w:rPr>
      </w:pPr>
      <w:r>
        <w:rPr>
          <w:rFonts w:ascii="Garamond" w:hAnsi="Garamond"/>
          <w:b/>
          <w:sz w:val="26"/>
          <w:szCs w:val="26"/>
        </w:rPr>
        <w:t>DECRETA:</w:t>
      </w:r>
    </w:p>
    <w:p w:rsidR="00BC0575" w:rsidRDefault="00BC0575" w:rsidP="00E94AFC">
      <w:pPr>
        <w:jc w:val="both"/>
        <w:rPr>
          <w:rFonts w:ascii="Garamond" w:hAnsi="Garamond"/>
          <w:sz w:val="26"/>
          <w:szCs w:val="26"/>
        </w:rPr>
      </w:pPr>
      <w:r w:rsidRPr="00BC0575">
        <w:rPr>
          <w:rFonts w:ascii="Garamond" w:hAnsi="Garamond"/>
          <w:b/>
          <w:sz w:val="26"/>
          <w:szCs w:val="26"/>
          <w:u w:val="single"/>
        </w:rPr>
        <w:t>ARTICULO 1º:</w:t>
      </w:r>
      <w:r>
        <w:rPr>
          <w:rFonts w:ascii="Garamond" w:hAnsi="Garamond"/>
          <w:b/>
          <w:sz w:val="26"/>
          <w:szCs w:val="26"/>
        </w:rPr>
        <w:t xml:space="preserve"> </w:t>
      </w:r>
      <w:r>
        <w:rPr>
          <w:rFonts w:ascii="Garamond" w:hAnsi="Garamond"/>
          <w:sz w:val="26"/>
          <w:szCs w:val="26"/>
        </w:rPr>
        <w:t>Vetase totalmente la Ordenanza Nº 3197/2014.</w:t>
      </w:r>
    </w:p>
    <w:p w:rsidR="00BC0575" w:rsidRDefault="00BC0575" w:rsidP="00E94AFC">
      <w:pPr>
        <w:jc w:val="both"/>
        <w:rPr>
          <w:rFonts w:ascii="Garamond" w:hAnsi="Garamond"/>
          <w:sz w:val="26"/>
          <w:szCs w:val="26"/>
        </w:rPr>
      </w:pPr>
      <w:r w:rsidRPr="00BC0575">
        <w:rPr>
          <w:rFonts w:ascii="Garamond" w:hAnsi="Garamond"/>
          <w:b/>
          <w:sz w:val="26"/>
          <w:szCs w:val="26"/>
          <w:u w:val="single"/>
        </w:rPr>
        <w:t>ARTICULO 2º:</w:t>
      </w:r>
      <w:r>
        <w:rPr>
          <w:rFonts w:ascii="Garamond" w:hAnsi="Garamond"/>
          <w:sz w:val="26"/>
          <w:szCs w:val="26"/>
        </w:rPr>
        <w:t xml:space="preserve"> El presente decreto será refrendado por la Secretaria de Gobierno y el Secretario de Hacienda.</w:t>
      </w:r>
    </w:p>
    <w:p w:rsidR="00BC0575" w:rsidRPr="00BC0575" w:rsidRDefault="00BC0575" w:rsidP="00E94AFC">
      <w:pPr>
        <w:jc w:val="both"/>
        <w:rPr>
          <w:rFonts w:ascii="Garamond" w:hAnsi="Garamond"/>
          <w:sz w:val="26"/>
          <w:szCs w:val="26"/>
        </w:rPr>
      </w:pPr>
      <w:r w:rsidRPr="00BC0575">
        <w:rPr>
          <w:rFonts w:ascii="Garamond" w:hAnsi="Garamond"/>
          <w:b/>
          <w:sz w:val="26"/>
          <w:szCs w:val="26"/>
          <w:u w:val="single"/>
        </w:rPr>
        <w:t>ARTICULO 3º:</w:t>
      </w:r>
      <w:r>
        <w:rPr>
          <w:rFonts w:ascii="Garamond" w:hAnsi="Garamond"/>
          <w:sz w:val="26"/>
          <w:szCs w:val="26"/>
        </w:rPr>
        <w:t xml:space="preserve"> Comuníquese, pase al Registro de Decretos y Archívese.</w:t>
      </w:r>
    </w:p>
    <w:p w:rsidR="00BC0575" w:rsidRPr="00BC0575" w:rsidRDefault="00BC0575" w:rsidP="00E94AFC">
      <w:pPr>
        <w:jc w:val="both"/>
        <w:rPr>
          <w:rFonts w:ascii="Garamond" w:hAnsi="Garamond"/>
          <w:b/>
          <w:sz w:val="26"/>
          <w:szCs w:val="26"/>
        </w:rPr>
      </w:pPr>
    </w:p>
    <w:sectPr w:rsidR="00BC0575" w:rsidRPr="00BC05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84B"/>
    <w:rsid w:val="00072B86"/>
    <w:rsid w:val="000B4616"/>
    <w:rsid w:val="00507EBC"/>
    <w:rsid w:val="0055332D"/>
    <w:rsid w:val="005830AA"/>
    <w:rsid w:val="006614DA"/>
    <w:rsid w:val="006D784B"/>
    <w:rsid w:val="00BC0575"/>
    <w:rsid w:val="00E94AFC"/>
    <w:rsid w:val="00EE5874"/>
    <w:rsid w:val="00F74851"/>
    <w:rsid w:val="00FC1A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8030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3</cp:revision>
  <dcterms:created xsi:type="dcterms:W3CDTF">2014-08-14T14:18:00Z</dcterms:created>
  <dcterms:modified xsi:type="dcterms:W3CDTF">2014-08-14T14:21:00Z</dcterms:modified>
</cp:coreProperties>
</file>